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AA7762">
        <w:rPr>
          <w:rFonts w:ascii="Times New Roman" w:hAnsi="Times New Roman" w:cs="Times New Roman"/>
          <w:color w:val="000000"/>
          <w:lang w:val="sr-Latn-CS"/>
        </w:rPr>
        <w:t>8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346A2F" w:rsidP="00FC4D1B">
      <w:pPr>
        <w:spacing w:after="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Prema </w:t>
      </w:r>
      <w:r w:rsidR="00CD21B9">
        <w:rPr>
          <w:rFonts w:ascii="Times New Roman" w:hAnsi="Times New Roman" w:cs="Times New Roman"/>
          <w:lang w:val="sr-Latn-RS"/>
        </w:rPr>
        <w:t>ISO 11014-1:1994(E</w:t>
      </w:r>
      <w:r>
        <w:rPr>
          <w:rFonts w:ascii="Times New Roman" w:hAnsi="Times New Roman" w:cs="Times New Roman"/>
          <w:lang w:val="sr-Latn-RS"/>
        </w:rPr>
        <w:t>)</w:t>
      </w:r>
      <w:r w:rsidR="00AB6006">
        <w:rPr>
          <w:rFonts w:ascii="Times New Roman" w:hAnsi="Times New Roman" w:cs="Times New Roman"/>
          <w:lang w:val="sr-Latn-RS"/>
        </w:rPr>
        <w:t xml:space="preserve"> </w:t>
      </w:r>
      <w:r w:rsidR="00EC326F">
        <w:rPr>
          <w:rFonts w:ascii="Times New Roman" w:hAnsi="Times New Roman" w:cs="Times New Roman"/>
          <w:lang w:val="sr-Latn-RS"/>
        </w:rPr>
        <w:t>-</w:t>
      </w:r>
      <w:r w:rsidR="00507FF0" w:rsidRPr="00507FF0">
        <w:rPr>
          <w:rFonts w:ascii="Times New Roman" w:hAnsi="Times New Roman" w:cs="Times New Roman"/>
          <w:lang w:val="sr-Latn-RS"/>
        </w:rPr>
        <w:t xml:space="preserve"> </w:t>
      </w:r>
      <w:r w:rsidR="00507FF0">
        <w:rPr>
          <w:rFonts w:ascii="Times New Roman" w:hAnsi="Times New Roman" w:cs="Times New Roman"/>
          <w:lang w:val="sr-Latn-RS"/>
        </w:rPr>
        <w:t>MSDS proizvođača</w:t>
      </w:r>
    </w:p>
    <w:p w:rsidR="005E0553" w:rsidRPr="009A04C5" w:rsidRDefault="00EC326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RS"/>
        </w:rPr>
        <w:t>Ekvivalentan</w:t>
      </w:r>
      <w:r w:rsidR="00CD21B9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sa:</w:t>
      </w:r>
      <w:r w:rsidR="00CD21B9">
        <w:rPr>
          <w:rFonts w:ascii="Times New Roman" w:hAnsi="Times New Roman" w:cs="Times New Roman"/>
          <w:lang w:val="sr-Latn-RS"/>
        </w:rPr>
        <w:t>Kina GB 16483-2000</w:t>
      </w:r>
      <w:r w:rsidR="00AB6006">
        <w:rPr>
          <w:rFonts w:ascii="Times New Roman" w:hAnsi="Times New Roman" w:cs="Times New Roman"/>
          <w:lang w:val="sr-Latn-RS"/>
        </w:rPr>
        <w:t xml:space="preserve"> </w:t>
      </w:r>
      <w:r w:rsidR="00507FF0">
        <w:rPr>
          <w:rFonts w:ascii="Times New Roman" w:hAnsi="Times New Roman" w:cs="Times New Roman"/>
          <w:lang w:val="sr-Latn-RS"/>
        </w:rPr>
        <w:t>- MSDS proizvođača</w:t>
      </w:r>
      <w:r w:rsidR="00E5128F">
        <w:rPr>
          <w:rFonts w:ascii="Times New Roman" w:hAnsi="Times New Roman" w:cs="Times New Roman"/>
          <w:lang w:val="sr-Latn-CS"/>
        </w:rPr>
        <w:t xml:space="preserve"> 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Pr="009A04C5">
        <w:rPr>
          <w:rFonts w:ascii="Times New Roman" w:hAnsi="Times New Roman" w:cs="Times New Roman"/>
          <w:lang w:val="sr-Latn-CS"/>
        </w:rPr>
        <w:t xml:space="preserve">: </w:t>
      </w:r>
      <w:r w:rsidR="009F3E54">
        <w:rPr>
          <w:rFonts w:ascii="Times New Roman" w:hAnsi="Times New Roman" w:cs="Times New Roman"/>
          <w:lang w:val="sr-Latn-CS"/>
        </w:rPr>
        <w:t>decembar, 2012.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8B2A29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               </w:t>
      </w:r>
      <w:r w:rsidR="008B2A29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</w:t>
      </w:r>
      <w:r w:rsidR="008B2A29">
        <w:rPr>
          <w:rFonts w:ascii="Times New Roman" w:hAnsi="Times New Roman" w:cs="Times New Roman"/>
          <w:color w:val="000000"/>
          <w:lang w:val="sr-Latn-CS"/>
        </w:rPr>
        <w:t xml:space="preserve">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B2A29">
        <w:rPr>
          <w:rFonts w:ascii="Times New Roman" w:hAnsi="Times New Roman" w:cs="Times New Roman"/>
          <w:color w:val="000000"/>
          <w:lang w:val="sr-Latn-CS"/>
        </w:rPr>
        <w:t>/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Pr="00AA5E7D" w:rsidRDefault="00152071" w:rsidP="00AA5E7D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lang w:val="de-DE"/>
              </w:rPr>
            </w:pPr>
            <w:r w:rsidRPr="00AA5E7D">
              <w:rPr>
                <w:rFonts w:ascii="Times-New-Roman" w:hAnsi="Times-New-Roman" w:cs="Times-New-Roman"/>
                <w:b/>
                <w:lang w:val="de-DE"/>
              </w:rPr>
              <w:t>Naziv hemikalije:</w:t>
            </w:r>
          </w:p>
          <w:p w:rsidR="00AA5E7D" w:rsidRDefault="00AA5E7D" w:rsidP="00AA5E7D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eastAsia="Times New Roman" w:cs="Times New Roman"/>
                <w:b/>
                <w:bCs/>
              </w:rPr>
            </w:pPr>
          </w:p>
          <w:p w:rsidR="00AA5E7D" w:rsidRPr="00AA5E7D" w:rsidRDefault="00AA5E7D" w:rsidP="00AA5E7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BE1CC1" w:rsidRDefault="00451954" w:rsidP="00AA5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  <w:t xml:space="preserve">FERROUS </w:t>
            </w:r>
            <w:r w:rsidR="00BE1CC1" w:rsidRPr="00BE1CC1"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  <w:t xml:space="preserve"> </w:t>
            </w:r>
            <w:r w:rsidR="00BE1CC1"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  <w:t>SULPHATE MONOHYDRATE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B2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</w:t>
            </w:r>
            <w:r w:rsidR="008B2A29">
              <w:rPr>
                <w:rFonts w:ascii="Times-New-Roman" w:hAnsi="Times-New-Roman" w:cs="Times-New-Roman"/>
                <w:b/>
                <w:i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BE1CC1" w:rsidP="00BA07AB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cs="Times-New-Roman"/>
                <w:lang w:val="sr-Latn-RS"/>
              </w:rPr>
              <w:t>/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9F3E54">
        <w:trPr>
          <w:trHeight w:val="151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4105AA" w:rsidRDefault="00BE1CC1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KIRNS CHEMICAL LTD.</w:t>
            </w:r>
          </w:p>
          <w:p w:rsidR="00BE1CC1" w:rsidRDefault="00BE1CC1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Adresa:1802, 208 East Laodong Road, Changsha, Hunan, China</w:t>
            </w:r>
          </w:p>
          <w:p w:rsidR="00BE1CC1" w:rsidRDefault="00BE1CC1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Poštanski broj: 410007</w:t>
            </w:r>
          </w:p>
          <w:p w:rsidR="008B2A29" w:rsidRDefault="00152071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BE1CC1">
              <w:rPr>
                <w:rFonts w:ascii="Times-New-Roman" w:hAnsi="Times-New-Roman" w:cs="Times-New-Roman"/>
                <w:lang w:val="de-DE"/>
              </w:rPr>
              <w:t>86 (731) 8867-8000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BE1CC1">
              <w:rPr>
                <w:rFonts w:ascii="Times-New-Roman" w:hAnsi="Times-New-Roman" w:cs="Times-New-Roman"/>
                <w:lang w:val="de-DE"/>
              </w:rPr>
              <w:t>86 (731) 8867-7000</w:t>
            </w:r>
          </w:p>
          <w:p w:rsidR="004105AA" w:rsidRPr="004105AA" w:rsidRDefault="004105AA" w:rsidP="00BE1C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b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</w:t>
            </w:r>
            <w:r w:rsidR="00BE1CC1">
              <w:rPr>
                <w:rFonts w:ascii="Times-New-Roman" w:hAnsi="Times-New-Roman" w:cs="Times-New-Roman"/>
                <w:lang w:val="de-DE"/>
              </w:rPr>
              <w:t>kirns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="00BE1CC1">
              <w:rPr>
                <w:rFonts w:ascii="Times New Roman" w:hAnsi="Times New Roman" w:cs="Times New Roman"/>
                <w:lang w:val="sr-Latn-RS"/>
              </w:rPr>
              <w:t>kirns</w:t>
            </w:r>
            <w:r w:rsidRPr="004105AA">
              <w:rPr>
                <w:rFonts w:ascii="Times New Roman" w:hAnsi="Times New Roman" w:cs="Times New Roman"/>
                <w:lang w:val="sr-Latn-RS"/>
              </w:rPr>
              <w:t>.com</w:t>
            </w: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r w:rsidR="009F3E54"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r w:rsidR="009F3E54"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 w:rsidR="009F3E54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9F3E54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9F3E54" w:rsidRDefault="00A3582C" w:rsidP="009F3E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9F3E54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9F3E54">
              <w:rPr>
                <w:rFonts w:ascii="Times New Roman" w:eastAsia="Times New Roman" w:hAnsi="Times New Roman" w:cs="Times New Roman"/>
              </w:rPr>
              <w:t xml:space="preserve"> </w:t>
            </w:r>
            <w:r w:rsidR="009F3E54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9F3E54">
              <w:rPr>
                <w:rFonts w:ascii="Times New Roman" w:eastAsia="Times New Roman" w:hAnsi="Times New Roman" w:cs="Times New Roman"/>
              </w:rPr>
              <w:t>atovljev</w:t>
            </w:r>
            <w:r w:rsidR="009F3E54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9F3E54" w:rsidP="009F3E5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AA7762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1800"/>
        <w:gridCol w:w="450"/>
        <w:gridCol w:w="2160"/>
        <w:gridCol w:w="3703"/>
      </w:tblGrid>
      <w:tr w:rsidR="00FC4D1B" w:rsidTr="00505DE2">
        <w:trPr>
          <w:trHeight w:val="20"/>
          <w:jc w:val="center"/>
        </w:trPr>
        <w:tc>
          <w:tcPr>
            <w:tcW w:w="1100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70591D">
        <w:trPr>
          <w:trHeight w:val="665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F787D" w:rsidRDefault="00FC4D1B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  <w:p w:rsidR="008B2A29" w:rsidRPr="008B2A29" w:rsidRDefault="008B2A29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13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B2A29" w:rsidRPr="008B2A29" w:rsidRDefault="0068377A" w:rsidP="00A841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-New-Roman" w:hAnsi="Times-New-Roman" w:cs="Times-New-Roman"/>
                <w:lang w:val="de-DE"/>
              </w:rPr>
              <w:t>Nije kl</w:t>
            </w:r>
            <w:r w:rsidR="00451954">
              <w:rPr>
                <w:rFonts w:ascii="Times-New-Roman" w:hAnsi="Times-New-Roman" w:cs="Times-New-Roman"/>
                <w:lang w:val="de-DE"/>
              </w:rPr>
              <w:t xml:space="preserve">asifikovan/regulisan kao opasan proizvod </w:t>
            </w:r>
            <w:r>
              <w:rPr>
                <w:rFonts w:ascii="Times-New-Roman" w:hAnsi="Times-New-Roman" w:cs="Times-New-Roman"/>
                <w:lang w:val="de-DE"/>
              </w:rPr>
              <w:t>(Kina GB 12268-2005)</w:t>
            </w:r>
          </w:p>
        </w:tc>
      </w:tr>
      <w:tr w:rsidR="00152071" w:rsidTr="0070591D">
        <w:trPr>
          <w:trHeight w:val="70"/>
          <w:jc w:val="center"/>
        </w:trPr>
        <w:tc>
          <w:tcPr>
            <w:tcW w:w="4693" w:type="dxa"/>
            <w:gridSpan w:val="2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313" w:type="dxa"/>
            <w:gridSpan w:val="3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  <w:p w:rsidR="00E3536C" w:rsidRDefault="00E3536C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631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A8412C" w:rsidP="00A841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Može biti š</w:t>
            </w:r>
            <w:r w:rsidR="00E3536C">
              <w:rPr>
                <w:rFonts w:ascii="Times-New-Roman" w:hAnsi="Times-New-Roman" w:cs="Times-New-Roman"/>
                <w:lang w:val="de-DE"/>
              </w:rPr>
              <w:t>tetno ako se proguta</w:t>
            </w:r>
            <w:r>
              <w:rPr>
                <w:rFonts w:ascii="Times-New-Roman" w:hAnsi="Times-New-Roman" w:cs="Times-New-Roman"/>
                <w:lang w:val="de-DE"/>
              </w:rPr>
              <w:t>, udahne</w:t>
            </w:r>
            <w:r w:rsidR="00F4586F">
              <w:rPr>
                <w:rFonts w:ascii="Times-New-Roman" w:hAnsi="Times-New-Roman" w:cs="Times-New-Roman"/>
                <w:lang w:val="de-DE"/>
              </w:rPr>
              <w:t>.</w:t>
            </w:r>
            <w:r w:rsidR="00E3536C">
              <w:rPr>
                <w:rFonts w:ascii="Times-New-Roman" w:hAnsi="Times-New-Roman" w:cs="Times-New-Roman"/>
                <w:lang w:val="de-DE"/>
              </w:rPr>
              <w:t xml:space="preserve">Može izazvati </w:t>
            </w:r>
            <w:r w:rsidR="00551FE5">
              <w:rPr>
                <w:rFonts w:ascii="Times-New-Roman" w:hAnsi="Times-New-Roman" w:cs="Times-New-Roman"/>
                <w:lang w:val="de-DE"/>
              </w:rPr>
              <w:t>iritaciju</w:t>
            </w:r>
            <w:r w:rsidR="00E3536C">
              <w:rPr>
                <w:rFonts w:ascii="Times-New-Roman" w:hAnsi="Times-New-Roman" w:cs="Times-New-Roman"/>
                <w:lang w:val="de-DE"/>
              </w:rPr>
              <w:t xml:space="preserve"> pri kontaktu sa </w:t>
            </w:r>
            <w:r w:rsidR="0068377A">
              <w:rPr>
                <w:rFonts w:ascii="Times-New-Roman" w:hAnsi="Times-New-Roman" w:cs="Times-New-Roman"/>
                <w:lang w:val="de-DE"/>
              </w:rPr>
              <w:t>očima</w:t>
            </w:r>
            <w:r w:rsidR="00E3536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3536C" w:rsidRDefault="00FC4D1B" w:rsidP="00E3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  <w:p w:rsidR="00E3536C" w:rsidRPr="00F4586F" w:rsidRDefault="00E3536C" w:rsidP="00E3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</w:p>
        </w:tc>
        <w:tc>
          <w:tcPr>
            <w:tcW w:w="631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68377A" w:rsidP="006837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70591D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0591D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2739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-</w:t>
            </w:r>
            <w:r w:rsidR="00A25630"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="00A25630"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31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70591D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31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70591D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0591D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31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A8412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 ako se udahne</w:t>
            </w:r>
            <w:r w:rsidR="00394137" w:rsidRPr="0039413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A8412C" w:rsidP="00A8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podataka.</w:t>
            </w:r>
            <w:r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A25630" w:rsidTr="0070591D">
        <w:trPr>
          <w:trHeight w:val="198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31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70591D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Može izazvati </w:t>
            </w:r>
            <w:r w:rsidR="00551FE5">
              <w:rPr>
                <w:rFonts w:ascii="Times-New-Roman" w:hAnsi="Times-New-Roman" w:cs="Times-New-Roman"/>
                <w:lang w:val="de-DE"/>
              </w:rPr>
              <w:t xml:space="preserve">iritaciju </w:t>
            </w:r>
            <w:r>
              <w:rPr>
                <w:rFonts w:ascii="Times-New-Roman" w:hAnsi="Times-New-Roman" w:cs="Times-New-Roman"/>
                <w:lang w:val="de-DE"/>
              </w:rPr>
              <w:t xml:space="preserve">pri kontaktu sa </w:t>
            </w:r>
            <w:r>
              <w:rPr>
                <w:rFonts w:ascii="Times-New-Roman" w:hAnsi="Times-New-Roman" w:cs="Times-New-Roman"/>
              </w:rPr>
              <w:t>očima</w:t>
            </w:r>
            <w:r w:rsidR="006B5251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31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E3536C" w:rsidP="0070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 ako se proguta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3949D8">
        <w:trPr>
          <w:trHeight w:val="377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505DE2">
        <w:trPr>
          <w:trHeight w:val="152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13312" w:rsidRDefault="00E3536C" w:rsidP="00683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</w:t>
            </w:r>
            <w:r w:rsidR="008B2A29" w:rsidRPr="00E93EB4">
              <w:rPr>
                <w:rFonts w:ascii="Times New Roman" w:hAnsi="Times New Roman" w:cs="Times New Roman"/>
                <w:b/>
                <w:bCs/>
              </w:rPr>
              <w:t xml:space="preserve"> proizvoda:  </w:t>
            </w:r>
            <w:r w:rsidR="0068377A" w:rsidRPr="0068377A">
              <w:rPr>
                <w:rFonts w:ascii="Times New Roman" w:hAnsi="Times New Roman" w:cs="Times New Roman"/>
                <w:bCs/>
              </w:rPr>
              <w:t>Supstanca</w:t>
            </w:r>
          </w:p>
          <w:p w:rsidR="00BE1CC1" w:rsidRPr="0068377A" w:rsidRDefault="00BE1CC1" w:rsidP="00683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377A">
              <w:rPr>
                <w:rFonts w:ascii="Times New Roman" w:hAnsi="Times New Roman" w:cs="Times New Roman"/>
                <w:bCs/>
              </w:rPr>
              <w:t xml:space="preserve">Hemijska formula: </w:t>
            </w:r>
            <w:r w:rsidR="00A8412C">
              <w:rPr>
                <w:rFonts w:ascii="Times New Roman" w:hAnsi="Times New Roman" w:cs="Times New Roman"/>
                <w:bCs/>
              </w:rPr>
              <w:t>Fe</w:t>
            </w:r>
            <w:r w:rsidRPr="0068377A">
              <w:rPr>
                <w:rFonts w:ascii="Times New Roman" w:hAnsi="Times New Roman" w:cs="Times New Roman"/>
                <w:bCs/>
              </w:rPr>
              <w:t>SO</w:t>
            </w:r>
            <w:r w:rsidRPr="0068377A">
              <w:rPr>
                <w:rFonts w:ascii="Times New Roman" w:hAnsi="Times New Roman" w:cs="Times New Roman"/>
                <w:bCs/>
                <w:vertAlign w:val="subscript"/>
              </w:rPr>
              <w:t>4</w:t>
            </w:r>
            <w:r w:rsidRPr="0068377A">
              <w:rPr>
                <w:rFonts w:ascii="Times New Roman" w:hAnsi="Times New Roman" w:cs="Times New Roman"/>
                <w:bCs/>
              </w:rPr>
              <w:t>∙H</w:t>
            </w:r>
            <w:r w:rsidRPr="0068377A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68377A">
              <w:rPr>
                <w:rFonts w:ascii="Times New Roman" w:hAnsi="Times New Roman" w:cs="Times New Roman"/>
                <w:bCs/>
              </w:rPr>
              <w:t>O</w:t>
            </w:r>
          </w:p>
          <w:p w:rsidR="00BE1CC1" w:rsidRPr="0068377A" w:rsidRDefault="00BE1CC1" w:rsidP="00683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377A">
              <w:rPr>
                <w:rFonts w:ascii="Times New Roman" w:hAnsi="Times New Roman" w:cs="Times New Roman"/>
                <w:bCs/>
              </w:rPr>
              <w:t xml:space="preserve">Molekulska masa: </w:t>
            </w:r>
            <w:r w:rsidR="00A8412C">
              <w:rPr>
                <w:rFonts w:ascii="Times New Roman" w:hAnsi="Times New Roman" w:cs="Times New Roman"/>
                <w:bCs/>
              </w:rPr>
              <w:t>249.68</w:t>
            </w:r>
          </w:p>
          <w:p w:rsidR="00BE1CC1" w:rsidRPr="00BE1CC1" w:rsidRDefault="00BE1CC1" w:rsidP="00A8412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68377A">
              <w:rPr>
                <w:rFonts w:ascii="Times New Roman" w:hAnsi="Times New Roman" w:cs="Times New Roman"/>
                <w:bCs/>
              </w:rPr>
              <w:t>CAS broj:</w:t>
            </w:r>
            <w:r w:rsidR="00A8412C">
              <w:rPr>
                <w:rFonts w:ascii="Times New Roman" w:hAnsi="Times New Roman" w:cs="Times New Roman"/>
                <w:bCs/>
              </w:rPr>
              <w:t xml:space="preserve">17375-41-6 </w:t>
            </w:r>
            <w:r w:rsidRPr="0068377A">
              <w:rPr>
                <w:rFonts w:ascii="Times New Roman" w:hAnsi="Times New Roman" w:cs="Times New Roman"/>
                <w:bCs/>
              </w:rPr>
              <w:t xml:space="preserve">(monohidrat) </w:t>
            </w:r>
            <w:r w:rsidR="00551FE5">
              <w:rPr>
                <w:rFonts w:ascii="Times New Roman" w:hAnsi="Times New Roman" w:cs="Times New Roman"/>
                <w:bCs/>
              </w:rPr>
              <w:t xml:space="preserve"> </w:t>
            </w:r>
            <w:r w:rsidR="00A8412C">
              <w:rPr>
                <w:rFonts w:ascii="Times New Roman" w:hAnsi="Times New Roman" w:cs="Times New Roman"/>
                <w:bCs/>
              </w:rPr>
              <w:t>7720-78-7</w:t>
            </w:r>
            <w:r w:rsidR="00551FE5">
              <w:rPr>
                <w:rFonts w:ascii="Times New Roman" w:hAnsi="Times New Roman" w:cs="Times New Roman"/>
                <w:bCs/>
              </w:rPr>
              <w:t xml:space="preserve"> </w:t>
            </w:r>
            <w:r w:rsidRPr="0068377A">
              <w:rPr>
                <w:rFonts w:ascii="Times New Roman" w:hAnsi="Times New Roman" w:cs="Times New Roman"/>
                <w:bCs/>
              </w:rPr>
              <w:t>(anhidrovan)</w:t>
            </w:r>
          </w:p>
        </w:tc>
      </w:tr>
      <w:tr w:rsidR="0068377A" w:rsidTr="0068377A">
        <w:trPr>
          <w:trHeight w:val="348"/>
          <w:jc w:val="center"/>
        </w:trPr>
        <w:tc>
          <w:tcPr>
            <w:tcW w:w="289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A" w:rsidRPr="0068377A" w:rsidRDefault="0068377A" w:rsidP="0068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68377A">
              <w:rPr>
                <w:rFonts w:ascii="Times New Roman" w:hAnsi="Times New Roman" w:cs="Times New Roman"/>
                <w:b/>
              </w:rPr>
              <w:t>Komponente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A" w:rsidRPr="0068377A" w:rsidRDefault="0068377A" w:rsidP="0068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68377A">
              <w:rPr>
                <w:rFonts w:ascii="Times New Roman" w:hAnsi="Times New Roman" w:cs="Times New Roman"/>
                <w:b/>
              </w:rPr>
              <w:t>Težinski udeo (%)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A" w:rsidRPr="0068377A" w:rsidRDefault="0068377A" w:rsidP="0068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68377A">
              <w:rPr>
                <w:rFonts w:ascii="Times New Roman" w:hAnsi="Times New Roman" w:cs="Times New Roman"/>
                <w:b/>
                <w:bCs/>
                <w:lang w:val="de-DE"/>
              </w:rPr>
              <w:t>CAS broj</w:t>
            </w:r>
          </w:p>
        </w:tc>
        <w:tc>
          <w:tcPr>
            <w:tcW w:w="370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377A" w:rsidRPr="0068377A" w:rsidRDefault="0068377A" w:rsidP="0068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68377A">
              <w:rPr>
                <w:rFonts w:ascii="Times New Roman" w:hAnsi="Times New Roman" w:cs="Times New Roman"/>
                <w:b/>
                <w:bCs/>
                <w:lang w:val="de-DE"/>
              </w:rPr>
              <w:t>Klasifikacija</w:t>
            </w:r>
          </w:p>
        </w:tc>
      </w:tr>
      <w:tr w:rsidR="0068377A" w:rsidTr="0068377A">
        <w:trPr>
          <w:trHeight w:val="70"/>
          <w:jc w:val="center"/>
        </w:trPr>
        <w:tc>
          <w:tcPr>
            <w:tcW w:w="28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A" w:rsidRPr="0068377A" w:rsidRDefault="00A8412C" w:rsidP="00E353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Ferrous</w:t>
            </w:r>
            <w:r w:rsidR="0068377A" w:rsidRPr="0068377A">
              <w:rPr>
                <w:rFonts w:ascii="Times New Roman" w:hAnsi="Times New Roman" w:cs="Times New Roman"/>
              </w:rPr>
              <w:t xml:space="preserve"> Sulphate Monohydrate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A" w:rsidRPr="0068377A" w:rsidRDefault="0068377A" w:rsidP="006837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68377A">
              <w:rPr>
                <w:rFonts w:ascii="Times New Roman" w:hAnsi="Times New Roman" w:cs="Times New Roman"/>
                <w:bCs/>
                <w:lang w:val="de-DE"/>
              </w:rPr>
              <w:t>9</w:t>
            </w:r>
            <w:r w:rsidR="00A8412C">
              <w:rPr>
                <w:rFonts w:ascii="Times New Roman" w:hAnsi="Times New Roman" w:cs="Times New Roman"/>
                <w:bCs/>
                <w:lang w:val="de-DE"/>
              </w:rPr>
              <w:t>1</w:t>
            </w:r>
            <w:r w:rsidRPr="0068377A">
              <w:rPr>
                <w:rFonts w:ascii="Times New Roman" w:hAnsi="Times New Roman" w:cs="Times New Roman"/>
                <w:bCs/>
                <w:lang w:val="de-DE"/>
              </w:rPr>
              <w:t>-100</w:t>
            </w:r>
          </w:p>
          <w:p w:rsidR="0068377A" w:rsidRPr="0068377A" w:rsidRDefault="0068377A" w:rsidP="00A841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68377A">
              <w:rPr>
                <w:rFonts w:ascii="Times New Roman" w:hAnsi="Times New Roman" w:cs="Times New Roman"/>
                <w:bCs/>
                <w:lang w:val="de-DE"/>
              </w:rPr>
              <w:t xml:space="preserve">(kao </w:t>
            </w:r>
            <w:r w:rsidR="00A8412C">
              <w:rPr>
                <w:rFonts w:ascii="Times New Roman" w:hAnsi="Times New Roman" w:cs="Times New Roman"/>
                <w:bCs/>
              </w:rPr>
              <w:t>Fe</w:t>
            </w:r>
            <w:r w:rsidRPr="0068377A">
              <w:rPr>
                <w:rFonts w:ascii="Times New Roman" w:hAnsi="Times New Roman" w:cs="Times New Roman"/>
                <w:bCs/>
              </w:rPr>
              <w:t>SO</w:t>
            </w:r>
            <w:r w:rsidRPr="0068377A">
              <w:rPr>
                <w:rFonts w:ascii="Times New Roman" w:hAnsi="Times New Roman" w:cs="Times New Roman"/>
                <w:bCs/>
                <w:vertAlign w:val="subscript"/>
              </w:rPr>
              <w:t>4</w:t>
            </w:r>
            <w:r w:rsidRPr="0068377A">
              <w:rPr>
                <w:rFonts w:ascii="Times New Roman" w:hAnsi="Times New Roman" w:cs="Times New Roman"/>
                <w:bCs/>
              </w:rPr>
              <w:t>∙H</w:t>
            </w:r>
            <w:r w:rsidRPr="0068377A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68377A">
              <w:rPr>
                <w:rFonts w:ascii="Times New Roman" w:hAnsi="Times New Roman" w:cs="Times New Roman"/>
                <w:bCs/>
              </w:rPr>
              <w:t>O)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E5" w:rsidRDefault="00A8412C" w:rsidP="006837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17375-41-6</w:t>
            </w:r>
          </w:p>
          <w:p w:rsidR="0068377A" w:rsidRPr="0068377A" w:rsidRDefault="0068377A" w:rsidP="006837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68377A">
              <w:rPr>
                <w:rFonts w:ascii="Times New Roman" w:hAnsi="Times New Roman" w:cs="Times New Roman"/>
                <w:bCs/>
              </w:rPr>
              <w:t>(monohidrat)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8377A" w:rsidRPr="0068377A" w:rsidRDefault="0068377A" w:rsidP="00683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68377A">
              <w:rPr>
                <w:rFonts w:ascii="Times New Roman" w:hAnsi="Times New Roman" w:cs="Times New Roman"/>
                <w:lang w:val="de-DE"/>
              </w:rPr>
              <w:t>Nije regulisana (Kina GB 12268-2005)</w:t>
            </w:r>
          </w:p>
        </w:tc>
      </w:tr>
      <w:tr w:rsidR="00BA07AB" w:rsidTr="003949D8">
        <w:trPr>
          <w:trHeight w:val="312"/>
          <w:jc w:val="center"/>
        </w:trPr>
        <w:tc>
          <w:tcPr>
            <w:tcW w:w="11006" w:type="dxa"/>
            <w:gridSpan w:val="5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07AB" w:rsidRDefault="00BA07AB" w:rsidP="003949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B461D">
              <w:rPr>
                <w:rFonts w:ascii="Times-New-Roman" w:hAnsi="Times-New-Roman" w:cs="Times-New-Roman"/>
                <w:lang w:val="de-DE"/>
              </w:rPr>
              <w:t>Za više informacija videti tačku 16.</w:t>
            </w:r>
          </w:p>
        </w:tc>
      </w:tr>
      <w:tr w:rsidR="00BA07AB" w:rsidTr="003949D8">
        <w:trPr>
          <w:trHeight w:val="44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A07AB" w:rsidRPr="00074FD9" w:rsidRDefault="00BA07A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BA07AB" w:rsidTr="0070591D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BA07AB" w:rsidRPr="00A4469C" w:rsidRDefault="00BA07A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BA07AB" w:rsidP="00A1536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BA07AB" w:rsidTr="0070591D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BA07AB" w:rsidP="007059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Osobu izvesti na svež vazduh</w:t>
            </w:r>
            <w:r w:rsidR="0070591D">
              <w:rPr>
                <w:rFonts w:ascii="Times-New-Roman" w:hAnsi="Times-New-Roman" w:cs="Times-New-Roman"/>
              </w:rPr>
              <w:t>. U slučaju prestanka disanja  primeniti veštačko disanje. Ukoliko je disanje otežano primeniti kiseonik. Pozvati lekara.</w:t>
            </w:r>
          </w:p>
        </w:tc>
      </w:tr>
      <w:tr w:rsidR="00BA07AB" w:rsidTr="0070591D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BA07AB" w:rsidP="00A841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Skinuti odmah kontaminiranu odeću i obuću. Isprati kožu sa dosta vode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BA07AB" w:rsidTr="00FB63A3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70591D" w:rsidP="007059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Ispirati oči sa dosta vode najmanje 15 minuta</w:t>
            </w:r>
            <w:r w:rsidR="003949D8">
              <w:rPr>
                <w:rFonts w:ascii="Times-New-Roman" w:hAnsi="Times-New-Roman" w:cs="Times-New-Roman"/>
              </w:rPr>
              <w:t xml:space="preserve">. </w:t>
            </w:r>
            <w:r>
              <w:rPr>
                <w:rFonts w:ascii="Times-New-Roman" w:hAnsi="Times-New-Roman" w:cs="Times-New-Roman"/>
              </w:rPr>
              <w:t>Potražiti pomoć lekara</w:t>
            </w:r>
            <w:r w:rsidR="003949D8">
              <w:rPr>
                <w:rFonts w:ascii="Times-New-Roman" w:hAnsi="Times-New-Roman" w:cs="Times-New-Roman"/>
              </w:rPr>
              <w:t>.</w:t>
            </w:r>
          </w:p>
        </w:tc>
      </w:tr>
      <w:tr w:rsidR="00BA07AB" w:rsidTr="00FB63A3">
        <w:trPr>
          <w:trHeight w:val="198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gutanja: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07AB" w:rsidRPr="00A4469C" w:rsidRDefault="00A8412C" w:rsidP="00551F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Izazvati povraćanje ako je tako naložio lekar</w:t>
            </w:r>
            <w:r w:rsidR="00BA07AB">
              <w:rPr>
                <w:rFonts w:ascii="Times-New-Roman" w:hAnsi="Times-New-Roman" w:cs="Times-New-Roman"/>
              </w:rPr>
              <w:t xml:space="preserve">. Nikada ne stavljati ništa u usta onesvešćenoj osobi. </w:t>
            </w:r>
            <w:r w:rsidR="003949D8">
              <w:rPr>
                <w:rFonts w:ascii="Times-New-Roman" w:hAnsi="Times-New-Roman" w:cs="Times-New-Roman"/>
              </w:rPr>
              <w:t>Konsultovati lekara.</w:t>
            </w:r>
          </w:p>
        </w:tc>
      </w:tr>
      <w:tr w:rsidR="00BA07AB" w:rsidTr="003949D8">
        <w:trPr>
          <w:trHeight w:val="465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Pr="00A4469C" w:rsidRDefault="00BA07A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07AB" w:rsidRPr="00A4469C" w:rsidRDefault="00BA07AB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BA07AB" w:rsidTr="0070591D">
        <w:trPr>
          <w:trHeight w:val="287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07AB" w:rsidRPr="00A4469C" w:rsidRDefault="00BA07AB" w:rsidP="00A71C5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07AB" w:rsidRPr="00A4469C" w:rsidRDefault="00BA07A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70591D" w:rsidRPr="00E3536C" w:rsidRDefault="0070591D" w:rsidP="007059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8747A5">
        <w:rPr>
          <w:rFonts w:ascii="Times New Roman" w:hAnsi="Times New Roman" w:cs="Times New Roman"/>
          <w:i/>
          <w:sz w:val="20"/>
          <w:szCs w:val="20"/>
          <w:lang w:val="sr-Latn-RS"/>
        </w:rPr>
        <w:t>Ferrous</w:t>
      </w:r>
      <w:r w:rsidR="008222C3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Sulphate Monohydrate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70591D" w:rsidRPr="002C21D4" w:rsidRDefault="0070591D" w:rsidP="0070591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0591D" w:rsidRDefault="0070591D" w:rsidP="0070591D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AA7762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D51D00" w:rsidTr="008222C3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5. MERE ZAŠTITE OD POŽARA</w:t>
            </w:r>
          </w:p>
        </w:tc>
      </w:tr>
      <w:tr w:rsidR="008222C3" w:rsidTr="00F80C77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222C3" w:rsidRPr="00F80C77" w:rsidRDefault="008222C3" w:rsidP="00F80C7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F80C77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Ovaj proizvod ne gori niti potpomaže sagorevanju</w:t>
            </w:r>
            <w:r w:rsidR="00F80C77" w:rsidRPr="00F80C77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.</w:t>
            </w:r>
            <w:r w:rsidR="00F80C77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 Nije klasifikovan kao eksplozivno niti požarno rizičan. Nije zapaljiv.</w:t>
            </w:r>
          </w:p>
        </w:tc>
      </w:tr>
      <w:tr w:rsidR="005377C2" w:rsidTr="00036A51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036A51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F63302" w:rsidP="00F80C7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F80C77">
              <w:rPr>
                <w:rFonts w:ascii="Times-New-Roman" w:hAnsi="Times-New-Roman" w:cs="Times-New-Roman"/>
                <w:lang w:val="de-DE"/>
              </w:rPr>
              <w:t>sredstvo za gašenje požara prikladno okruženju.</w:t>
            </w:r>
          </w:p>
        </w:tc>
      </w:tr>
      <w:tr w:rsidR="00D51D00" w:rsidTr="00036A51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036A51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8D2ADC" w:rsidP="008D2A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B6904">
              <w:rPr>
                <w:rFonts w:ascii="Times-New-Roman" w:hAnsi="Times-New-Roman" w:cs="Times-New-Roman"/>
                <w:lang w:val="de-DE"/>
              </w:rPr>
              <w:t>Koristiti zaštitnu opremu za respiratorni trakt,  sa delom koji prekriva celo lice i ima opciju rada pod pozitivnim pritiskom sa odgovarajućom hemijski otpornom opremom.</w:t>
            </w:r>
          </w:p>
        </w:tc>
      </w:tr>
      <w:tr w:rsidR="00D51D00" w:rsidTr="00036A51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F6330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F63302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F63302" w:rsidTr="00036A51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3949D8" w:rsidP="004952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</w:t>
            </w:r>
            <w:r w:rsidR="0049521E">
              <w:rPr>
                <w:rFonts w:ascii="Times-New-Roman" w:hAnsi="Times-New-Roman" w:cs="Times-New-Roman"/>
              </w:rPr>
              <w:t>oristiti ličnu zaštitnu opremu, u cilju izbegavanja kontaminacije kože i očiju i udisanja prašine.</w:t>
            </w:r>
          </w:p>
        </w:tc>
      </w:tr>
      <w:tr w:rsidR="00F63302" w:rsidTr="00036A51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4952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Sprečiti dospeće proizvoda u </w:t>
            </w:r>
            <w:proofErr w:type="gramStart"/>
            <w:r>
              <w:rPr>
                <w:rFonts w:ascii="Times-New-Roman" w:hAnsi="Times-New-Roman" w:cs="Times-New-Roman"/>
              </w:rPr>
              <w:t xml:space="preserve">kanalizacioni </w:t>
            </w:r>
            <w:r w:rsidR="00DD10C3">
              <w:rPr>
                <w:rFonts w:ascii="Times-New-Roman" w:hAnsi="Times-New-Roman" w:cs="Times-New-Roman"/>
              </w:rPr>
              <w:t xml:space="preserve"> </w:t>
            </w:r>
            <w:r w:rsidRPr="00A4469C">
              <w:rPr>
                <w:rFonts w:ascii="Times-New-Roman" w:hAnsi="Times-New-Roman" w:cs="Times-New-Roman"/>
              </w:rPr>
              <w:t>odvodni</w:t>
            </w:r>
            <w:proofErr w:type="gram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sistem</w:t>
            </w:r>
            <w:r w:rsidR="0049521E">
              <w:rPr>
                <w:rFonts w:ascii="Times-New-Roman" w:hAnsi="Times-New-Roman" w:cs="Times-New-Roman"/>
              </w:rPr>
              <w:t xml:space="preserve"> ili potoke ili druge vodene površine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F63302" w:rsidTr="00036A51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Pr="00A4469C" w:rsidRDefault="0049521E" w:rsidP="004952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Odgovarajućim alatom sakupiti prosuti proizvod</w:t>
            </w:r>
            <w:proofErr w:type="gramStart"/>
            <w:r>
              <w:rPr>
                <w:rFonts w:ascii="Times-New-Roman" w:hAnsi="Times-New-Roman" w:cs="Times-New-Roman"/>
              </w:rPr>
              <w:t>,staviti</w:t>
            </w:r>
            <w:proofErr w:type="gramEnd"/>
            <w:r>
              <w:rPr>
                <w:rFonts w:ascii="Times-New-Roman" w:hAnsi="Times-New-Roman" w:cs="Times-New-Roman"/>
              </w:rPr>
              <w:t xml:space="preserve"> u zapečaćene kontejnere i čuvati radi ponovnog korišćenja ili kasnijeg odlaganja.</w:t>
            </w:r>
          </w:p>
        </w:tc>
      </w:tr>
      <w:tr w:rsidR="00F63302" w:rsidTr="00036A51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  <w:tr w:rsidR="00F63302" w:rsidTr="001472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F63302" w:rsidTr="00036A51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036A51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ED030C" w:rsidRDefault="003949D8" w:rsidP="004952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</w:t>
            </w:r>
            <w:r w:rsidR="0049521E">
              <w:rPr>
                <w:rFonts w:ascii="Times-New-Roman" w:hAnsi="Times-New-Roman" w:cs="Times-New-Roman"/>
              </w:rPr>
              <w:t>udisanje prašine</w:t>
            </w:r>
            <w:r>
              <w:rPr>
                <w:rFonts w:ascii="Times-New-Roman" w:hAnsi="Times-New-Roman" w:cs="Times-New-Roman"/>
              </w:rPr>
              <w:t>. Izbegavati kontakt sa kožom</w:t>
            </w:r>
            <w:r w:rsidR="0049521E">
              <w:rPr>
                <w:rFonts w:ascii="Times-New-Roman" w:hAnsi="Times-New-Roman" w:cs="Times-New-Roman"/>
              </w:rPr>
              <w:t>,</w:t>
            </w:r>
            <w:r>
              <w:rPr>
                <w:rFonts w:ascii="Times-New-Roman" w:hAnsi="Times-New-Roman" w:cs="Times-New-Roman"/>
              </w:rPr>
              <w:t xml:space="preserve"> očima</w:t>
            </w:r>
            <w:r w:rsidR="0049521E">
              <w:rPr>
                <w:rFonts w:ascii="Times-New-Roman" w:hAnsi="Times-New-Roman" w:cs="Times-New-Roman"/>
              </w:rPr>
              <w:t xml:space="preserve"> i odećom</w:t>
            </w:r>
            <w:r>
              <w:rPr>
                <w:rFonts w:ascii="Times-New-Roman" w:hAnsi="Times-New-Roman" w:cs="Times-New-Roman"/>
              </w:rPr>
              <w:t xml:space="preserve">. </w:t>
            </w:r>
            <w:r w:rsidR="0049521E">
              <w:rPr>
                <w:rFonts w:ascii="Times-New-Roman" w:hAnsi="Times-New-Roman" w:cs="Times-New-Roman"/>
              </w:rPr>
              <w:t>Rukovati uz obezbeđenu ventilaciju.</w:t>
            </w:r>
            <w:r w:rsidR="008775AA">
              <w:rPr>
                <w:rFonts w:ascii="Times-New-Roman" w:hAnsi="Times-New-Roman" w:cs="Times-New-Roman"/>
              </w:rPr>
              <w:t xml:space="preserve">  Pušenje, jelo i piće treba zabraniti u oblasti rukovanja ovim proizvodom. </w:t>
            </w:r>
            <w:r w:rsidR="0049521E">
              <w:rPr>
                <w:rFonts w:ascii="Times-New-Roman" w:hAnsi="Times-New-Roman" w:cs="Times-New-Roman"/>
              </w:rPr>
              <w:t>Izbegavati duže ili ponovljeno izlaganje.</w:t>
            </w:r>
          </w:p>
        </w:tc>
      </w:tr>
      <w:tr w:rsidR="00F63302" w:rsidTr="00036A51">
        <w:trPr>
          <w:trHeight w:val="48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036A51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Default="0049521E" w:rsidP="00036A51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</w:t>
            </w:r>
            <w:r>
              <w:rPr>
                <w:rFonts w:ascii="Times-New-Roman" w:hAnsi="Times-New-Roman" w:cs="Times-New-Roman"/>
              </w:rPr>
              <w:t xml:space="preserve"> podataka.</w:t>
            </w:r>
          </w:p>
        </w:tc>
      </w:tr>
      <w:tr w:rsidR="00F63302" w:rsidTr="00036A51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036A51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12537F" w:rsidRDefault="00F63302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49521E" w:rsidP="00CA62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Skladištiti na suvom mestu, držati dalje od vlage</w:t>
            </w:r>
            <w:r w:rsidR="00A8412C">
              <w:rPr>
                <w:rFonts w:ascii="Times-New-Roman" w:hAnsi="Times-New-Roman" w:cs="Times-New-Roman"/>
              </w:rPr>
              <w:t xml:space="preserve"> i visokih temperatura. I</w:t>
            </w:r>
            <w:r>
              <w:rPr>
                <w:rFonts w:ascii="Times-New-Roman" w:hAnsi="Times-New-Roman" w:cs="Times-New-Roman"/>
              </w:rPr>
              <w:t>zbegavati fizička oštećenja.</w:t>
            </w:r>
            <w:r w:rsidR="00A8412C">
              <w:rPr>
                <w:rFonts w:ascii="Times-New-Roman" w:hAnsi="Times-New-Roman" w:cs="Times-New-Roman"/>
              </w:rPr>
              <w:t>Ne upotrebljavati proizvod ukoliko je prekriven braonkasto-žutom prevlakom gvožđe sulfata</w:t>
            </w:r>
            <w:r w:rsidR="00CA62A1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036A51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63302" w:rsidRPr="00A4469C" w:rsidRDefault="00036A51" w:rsidP="00036A51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Mere predostrožnosti: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63302" w:rsidRPr="00036A51" w:rsidRDefault="00036A51" w:rsidP="00036A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36A51">
              <w:rPr>
                <w:rFonts w:ascii="Times New Roman" w:hAnsi="Times New Roman" w:cs="Times New Roman"/>
                <w:b/>
                <w:i/>
              </w:rPr>
              <w:t>Obratiti pažnju na tačku 10.</w:t>
            </w:r>
            <w:proofErr w:type="gramStart"/>
            <w:r w:rsidRPr="00036A51">
              <w:rPr>
                <w:rFonts w:ascii="Times New Roman" w:hAnsi="Times New Roman" w:cs="Times New Roman"/>
                <w:b/>
                <w:i/>
              </w:rPr>
              <w:t>:STABILNOST</w:t>
            </w:r>
            <w:proofErr w:type="gramEnd"/>
            <w:r w:rsidRPr="00036A51">
              <w:rPr>
                <w:rFonts w:ascii="Times New Roman" w:hAnsi="Times New Roman" w:cs="Times New Roman"/>
                <w:b/>
                <w:i/>
              </w:rPr>
              <w:t xml:space="preserve"> I REAKTIVNOST:</w:t>
            </w:r>
            <w:r w:rsidRPr="00036A51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 Uslovi koje treba izbegavati i Materijali koje treba izbegavati.</w:t>
            </w:r>
          </w:p>
        </w:tc>
      </w:tr>
      <w:tr w:rsidR="00F63302" w:rsidTr="00036A51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036A51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63302" w:rsidRPr="00A4469C" w:rsidRDefault="00F63302" w:rsidP="00036A51">
            <w:pPr>
              <w:autoSpaceDE w:val="0"/>
              <w:autoSpaceDN w:val="0"/>
              <w:adjustRightInd w:val="0"/>
              <w:spacing w:before="240"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EC2B94" w:rsidP="00036A51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036A51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</w:tbl>
    <w:p w:rsidR="00036A51" w:rsidRDefault="00036A51" w:rsidP="00036A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36A51" w:rsidRDefault="00036A51" w:rsidP="00036A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36A51" w:rsidRPr="00E3536C" w:rsidRDefault="00036A51" w:rsidP="00036A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8747A5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Ferrous </w:t>
      </w:r>
      <w:r w:rsidR="00E768D0">
        <w:rPr>
          <w:rFonts w:ascii="Times New Roman" w:hAnsi="Times New Roman" w:cs="Times New Roman"/>
          <w:i/>
          <w:sz w:val="20"/>
          <w:szCs w:val="20"/>
          <w:lang w:val="sr-Latn-RS"/>
        </w:rPr>
        <w:t>Sulphate Monohydrate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036A51" w:rsidRPr="002C21D4" w:rsidRDefault="00036A51" w:rsidP="00036A5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36A51" w:rsidRDefault="00036A51" w:rsidP="00036A51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3/</w:t>
      </w:r>
      <w:r w:rsidR="00AA7762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1"/>
        <w:gridCol w:w="92"/>
        <w:gridCol w:w="360"/>
        <w:gridCol w:w="899"/>
        <w:gridCol w:w="5414"/>
      </w:tblGrid>
      <w:tr w:rsidR="00F63302" w:rsidTr="006B59F2">
        <w:trPr>
          <w:trHeight w:val="90"/>
          <w:jc w:val="center"/>
        </w:trPr>
        <w:tc>
          <w:tcPr>
            <w:tcW w:w="1100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8. KONTROLA IZLOŽENOSTI I LIČNA ZAŠTITA</w:t>
            </w:r>
          </w:p>
        </w:tc>
      </w:tr>
      <w:tr w:rsidR="00EC2B94" w:rsidTr="006B59F2">
        <w:trPr>
          <w:trHeight w:val="152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36A51" w:rsidRPr="00A4469C" w:rsidRDefault="00EC2B94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036A51" w:rsidTr="00036A51">
        <w:trPr>
          <w:trHeight w:val="278"/>
          <w:jc w:val="center"/>
        </w:trPr>
        <w:tc>
          <w:tcPr>
            <w:tcW w:w="4693" w:type="dxa"/>
            <w:gridSpan w:val="3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FE" w:rsidRPr="00A4469C" w:rsidRDefault="00036A51" w:rsidP="00CA62A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Kina  GBZ 2-2002</w:t>
            </w:r>
          </w:p>
        </w:tc>
        <w:tc>
          <w:tcPr>
            <w:tcW w:w="63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36A51" w:rsidRPr="00551FE5" w:rsidRDefault="00036A51" w:rsidP="00CA62A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551FE5">
              <w:rPr>
                <w:rFonts w:ascii="Times-New-Roman,Bold" w:hAnsi="Times-New-Roman,Bold" w:cs="Times-New-Roman,Bold"/>
                <w:bCs/>
              </w:rPr>
              <w:t xml:space="preserve">Nema podataka za </w:t>
            </w:r>
            <w:r w:rsidR="00CA62A1">
              <w:rPr>
                <w:rFonts w:ascii="Times-New-Roman,Bold" w:hAnsi="Times-New-Roman,Bold" w:cs="Times-New-Roman,Bold"/>
                <w:bCs/>
              </w:rPr>
              <w:t>gvožđe</w:t>
            </w:r>
            <w:r w:rsidRPr="00551FE5">
              <w:rPr>
                <w:rFonts w:ascii="Times-New-Roman,Bold" w:hAnsi="Times-New-Roman,Bold" w:cs="Times-New-Roman,Bold"/>
                <w:bCs/>
              </w:rPr>
              <w:t xml:space="preserve"> sulfat</w:t>
            </w:r>
            <w:r w:rsidR="00551FE5" w:rsidRPr="00551FE5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036A51" w:rsidTr="00036A51">
        <w:trPr>
          <w:trHeight w:val="278"/>
          <w:jc w:val="center"/>
        </w:trPr>
        <w:tc>
          <w:tcPr>
            <w:tcW w:w="4693" w:type="dxa"/>
            <w:gridSpan w:val="3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DFE" w:rsidRDefault="00036A51" w:rsidP="00036A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 xml:space="preserve">ACGIH </w:t>
            </w:r>
          </w:p>
          <w:p w:rsidR="00174DFE" w:rsidRDefault="00174DFE" w:rsidP="00036A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36A51" w:rsidRPr="00551FE5" w:rsidRDefault="00CA62A1" w:rsidP="00CA62A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Granična vrednost (TLV): 1</w:t>
            </w:r>
            <w:r w:rsidR="00FB3398">
              <w:rPr>
                <w:rFonts w:ascii="Times-New-Roman,Bold" w:hAnsi="Times-New-Roman,Bold" w:cs="Times-New-Roman,Bold"/>
                <w:bCs/>
              </w:rPr>
              <w:t xml:space="preserve"> mg/m</w:t>
            </w:r>
            <w:r w:rsidR="00FB3398">
              <w:rPr>
                <w:rFonts w:ascii="Times-New-Roman,Bold" w:hAnsi="Times-New-Roman,Bold" w:cs="Times-New-Roman,Bold"/>
                <w:bCs/>
                <w:vertAlign w:val="superscript"/>
              </w:rPr>
              <w:t>3</w:t>
            </w:r>
            <w:r w:rsidR="00FB3398">
              <w:rPr>
                <w:rFonts w:ascii="Times-New-Roman,Bold" w:hAnsi="Times-New-Roman,Bold" w:cs="Times-New-Roman,Bold"/>
                <w:bCs/>
              </w:rPr>
              <w:t xml:space="preserve">(TWA) </w:t>
            </w:r>
            <w:r>
              <w:rPr>
                <w:rFonts w:ascii="Times-New-Roman,Bold" w:hAnsi="Times-New-Roman,Bold" w:cs="Times-New-Roman,Bold"/>
                <w:bCs/>
              </w:rPr>
              <w:t>rastvorljiva so gvožđa, kao Fe</w:t>
            </w:r>
          </w:p>
        </w:tc>
      </w:tr>
      <w:tr w:rsidR="008775AA" w:rsidRPr="00147F3F" w:rsidTr="008775AA">
        <w:trPr>
          <w:trHeight w:val="70"/>
          <w:jc w:val="center"/>
        </w:trPr>
        <w:tc>
          <w:tcPr>
            <w:tcW w:w="11006" w:type="dxa"/>
            <w:gridSpan w:val="5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75AA" w:rsidRPr="005A09D8" w:rsidRDefault="008775AA" w:rsidP="008775A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FF0000"/>
                <w:sz w:val="4"/>
                <w:szCs w:val="4"/>
              </w:rPr>
            </w:pPr>
          </w:p>
        </w:tc>
      </w:tr>
      <w:tr w:rsidR="004C7BA4" w:rsidTr="00036A51">
        <w:trPr>
          <w:trHeight w:val="70"/>
          <w:jc w:val="center"/>
        </w:trPr>
        <w:tc>
          <w:tcPr>
            <w:tcW w:w="469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Default="004C7BA4" w:rsidP="005A09D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Mere upravljanja rizikom: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Default="004C7BA4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4C7BA4" w:rsidTr="00036A51">
        <w:trPr>
          <w:trHeight w:val="162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36A51" w:rsidRPr="00A4469C" w:rsidRDefault="00036A51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036A51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A4469C" w:rsidRDefault="004C7BA4" w:rsidP="006B59F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7BA4" w:rsidRPr="00A4469C" w:rsidRDefault="00036A51" w:rsidP="000D17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Primeniti adekvatnu ventilaciju </w:t>
            </w:r>
            <w:r w:rsidR="000D1737">
              <w:rPr>
                <w:rFonts w:ascii="Times-New-Roman" w:hAnsi="Times-New-Roman" w:cs="Times-New-Roman"/>
              </w:rPr>
              <w:t xml:space="preserve">da bi koncentracija u vazduhu </w:t>
            </w:r>
            <w:r>
              <w:rPr>
                <w:rFonts w:ascii="Times-New-Roman" w:hAnsi="Times-New-Roman" w:cs="Times-New-Roman"/>
              </w:rPr>
              <w:t xml:space="preserve"> </w:t>
            </w:r>
            <w:r w:rsidR="000D1737">
              <w:rPr>
                <w:rFonts w:ascii="Times-New-Roman" w:hAnsi="Times-New-Roman" w:cs="Times-New-Roman"/>
              </w:rPr>
              <w:t>bila ispod dozvoljene granice</w:t>
            </w:r>
            <w:r>
              <w:rPr>
                <w:rFonts w:ascii="Times-New-Roman" w:hAnsi="Times-New-Roman" w:cs="Times-New-Roman"/>
              </w:rPr>
              <w:t xml:space="preserve"> izloženosti</w:t>
            </w:r>
          </w:p>
        </w:tc>
      </w:tr>
      <w:tr w:rsidR="004C7BA4" w:rsidTr="00036A51">
        <w:trPr>
          <w:trHeight w:val="70"/>
          <w:jc w:val="center"/>
        </w:trPr>
        <w:tc>
          <w:tcPr>
            <w:tcW w:w="469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036A51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5A0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5A0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</w:p>
        </w:tc>
      </w:tr>
      <w:tr w:rsidR="004C7BA4" w:rsidTr="00036A51">
        <w:trPr>
          <w:trHeight w:val="465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5A09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0D1737" w:rsidP="00CA6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Koristiti</w:t>
            </w:r>
            <w:r w:rsidR="00A71C5D">
              <w:rPr>
                <w:rFonts w:ascii="Times-New-Roman" w:hAnsi="Times-New-Roman" w:cs="Times-New-Roman"/>
              </w:rPr>
              <w:t xml:space="preserve"> </w:t>
            </w:r>
            <w:r w:rsidR="008775AA">
              <w:rPr>
                <w:rFonts w:ascii="Times-New-Roman" w:hAnsi="Times-New-Roman" w:cs="Times-New-Roman"/>
              </w:rPr>
              <w:t>respirator sa odgovarajućim filterom</w:t>
            </w:r>
            <w:r w:rsidR="00CA62A1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koji ne propušta prašinu</w:t>
            </w:r>
            <w:r w:rsidR="00243877">
              <w:rPr>
                <w:rFonts w:ascii="Times-New-Roman" w:hAnsi="Times-New-Roman" w:cs="Times-New-Roman"/>
              </w:rPr>
              <w:t>.</w:t>
            </w:r>
          </w:p>
        </w:tc>
      </w:tr>
      <w:tr w:rsidR="004C7BA4" w:rsidTr="00174DFE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174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0D1737" w:rsidP="0017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</w:t>
            </w:r>
            <w:r w:rsidR="008775AA">
              <w:rPr>
                <w:rFonts w:ascii="Times-New-Roman" w:hAnsi="Times-New-Roman" w:cs="Times-New-Roman"/>
                <w:lang w:val="de-DE"/>
              </w:rPr>
              <w:t xml:space="preserve"> zaštitn</w:t>
            </w:r>
            <w:r>
              <w:rPr>
                <w:rFonts w:ascii="Times-New-Roman" w:hAnsi="Times-New-Roman" w:cs="Times-New-Roman"/>
                <w:lang w:val="de-DE"/>
              </w:rPr>
              <w:t>e</w:t>
            </w:r>
            <w:r w:rsidR="008775AA">
              <w:rPr>
                <w:rFonts w:ascii="Times-New-Roman" w:hAnsi="Times-New-Roman" w:cs="Times-New-Roman"/>
                <w:lang w:val="de-DE"/>
              </w:rPr>
              <w:t xml:space="preserve"> rukavic</w:t>
            </w:r>
            <w:r>
              <w:rPr>
                <w:rFonts w:ascii="Times-New-Roman" w:hAnsi="Times-New-Roman" w:cs="Times-New-Roman"/>
                <w:lang w:val="de-DE"/>
              </w:rPr>
              <w:t>e</w:t>
            </w:r>
            <w:r w:rsidR="008775AA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C7BA4" w:rsidTr="00036A51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174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8775AA" w:rsidP="0017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naočare.</w:t>
            </w:r>
          </w:p>
        </w:tc>
      </w:tr>
      <w:tr w:rsidR="008775AA" w:rsidTr="00036A51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775AA" w:rsidRPr="00A4469C" w:rsidRDefault="008775AA" w:rsidP="005A0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775AA" w:rsidRPr="00A4469C" w:rsidRDefault="000D1737" w:rsidP="005A0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otpornu zaštitnu odeću</w:t>
            </w:r>
            <w:r w:rsidR="008775AA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8775AA" w:rsidTr="00036A51">
        <w:trPr>
          <w:trHeight w:val="333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775AA" w:rsidRPr="00A4469C" w:rsidRDefault="008775AA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75AA" w:rsidRPr="00A4469C" w:rsidRDefault="000D1737" w:rsidP="000D17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Pušenje, jelo i piće zabraniti na radnom mestu.</w:t>
            </w:r>
            <w:r w:rsidR="008775AA">
              <w:rPr>
                <w:rFonts w:ascii="Times-New-Roman" w:hAnsi="Times-New-Roman" w:cs="Times-New-Roman"/>
              </w:rPr>
              <w:t xml:space="preserve"> Oprati ruke pre </w:t>
            </w:r>
            <w:r>
              <w:rPr>
                <w:rFonts w:ascii="Times-New-Roman" w:hAnsi="Times-New-Roman" w:cs="Times-New-Roman"/>
              </w:rPr>
              <w:t xml:space="preserve">jela. Istuširati se </w:t>
            </w:r>
            <w:r w:rsidR="008775AA">
              <w:rPr>
                <w:rFonts w:ascii="Times-New-Roman" w:hAnsi="Times-New-Roman" w:cs="Times-New-Roman"/>
              </w:rPr>
              <w:t xml:space="preserve">na kraju radnog dana. </w:t>
            </w:r>
          </w:p>
        </w:tc>
      </w:tr>
      <w:tr w:rsidR="009C50E8" w:rsidTr="00036A51">
        <w:trPr>
          <w:trHeight w:val="70"/>
          <w:jc w:val="center"/>
        </w:trPr>
        <w:tc>
          <w:tcPr>
            <w:tcW w:w="469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9C50E8" w:rsidTr="000D1737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C50E8" w:rsidRPr="00A4469C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DC4F00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0D1737">
        <w:trPr>
          <w:trHeight w:val="215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8690C" w:rsidRPr="00074FD9" w:rsidRDefault="0028690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28690C" w:rsidTr="000D1737">
        <w:trPr>
          <w:trHeight w:val="70"/>
          <w:jc w:val="center"/>
        </w:trPr>
        <w:tc>
          <w:tcPr>
            <w:tcW w:w="469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8690C" w:rsidTr="000D1737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0D1737" w:rsidP="005A09D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U čvrstom stanju</w:t>
            </w:r>
            <w:r w:rsidR="0028690C" w:rsidRPr="00A4469C">
              <w:rPr>
                <w:rFonts w:ascii="Times-New-Roman" w:hAnsi="Times-New-Roman" w:cs="Times-New-Roman"/>
              </w:rPr>
              <w:t>.</w:t>
            </w:r>
            <w:r w:rsidR="0028690C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28690C" w:rsidTr="000D1737">
        <w:trPr>
          <w:trHeight w:val="355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CA62A1" w:rsidP="00FB339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Svetlo siva </w:t>
            </w:r>
            <w:proofErr w:type="gramStart"/>
            <w:r>
              <w:rPr>
                <w:rFonts w:ascii="Times-New-Roman" w:hAnsi="Times-New-Roman" w:cs="Times-New-Roman"/>
              </w:rPr>
              <w:t>do</w:t>
            </w:r>
            <w:proofErr w:type="gramEnd"/>
            <w:r>
              <w:rPr>
                <w:rFonts w:ascii="Times-New-Roman" w:hAnsi="Times-New-Roman" w:cs="Times-New-Roman"/>
              </w:rPr>
              <w:t xml:space="preserve"> beličaste ili bele</w:t>
            </w:r>
            <w:r w:rsidR="0028690C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28690C" w:rsidTr="000D1737">
        <w:trPr>
          <w:trHeight w:val="80"/>
          <w:jc w:val="center"/>
        </w:trPr>
        <w:tc>
          <w:tcPr>
            <w:tcW w:w="469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690C" w:rsidRPr="0032758A" w:rsidRDefault="000D1737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Bez mirisa</w:t>
            </w:r>
            <w:r w:rsidR="0028690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054A79">
        <w:trPr>
          <w:trHeight w:val="2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28690C" w:rsidTr="004723D6">
        <w:trPr>
          <w:trHeight w:val="288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CA62A1" w:rsidP="00CA62A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3</w:t>
            </w:r>
            <w:r w:rsidR="000D1737">
              <w:rPr>
                <w:rFonts w:ascii="Times-New-Roman" w:hAnsi="Times-New-Roman" w:cs="Times-New-Roman"/>
                <w:lang w:val="de-DE"/>
              </w:rPr>
              <w:t>,0-</w:t>
            </w:r>
            <w:r>
              <w:rPr>
                <w:rFonts w:ascii="Times-New-Roman" w:hAnsi="Times-New-Roman" w:cs="Times-New-Roman"/>
                <w:lang w:val="de-DE"/>
              </w:rPr>
              <w:t>5</w:t>
            </w:r>
            <w:r w:rsidR="000D1737">
              <w:rPr>
                <w:rFonts w:ascii="Times-New-Roman" w:hAnsi="Times-New-Roman" w:cs="Times-New-Roman"/>
                <w:lang w:val="de-DE"/>
              </w:rPr>
              <w:t>,0</w:t>
            </w:r>
          </w:p>
        </w:tc>
      </w:tr>
      <w:tr w:rsidR="0028690C" w:rsidTr="004723D6">
        <w:trPr>
          <w:trHeight w:val="288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CA62A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Nije primenjivo.</w:t>
            </w:r>
          </w:p>
        </w:tc>
      </w:tr>
      <w:tr w:rsidR="00FB3398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B3398" w:rsidRPr="0095276B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98" w:rsidRPr="0095276B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B3398" w:rsidRPr="0095276B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Nije primenjivo.</w:t>
            </w:r>
          </w:p>
        </w:tc>
      </w:tr>
      <w:tr w:rsidR="00FB3398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B3398" w:rsidRPr="0095276B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98" w:rsidRPr="0095276B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B3398" w:rsidRPr="0095276B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Nije primenjivo.</w:t>
            </w:r>
          </w:p>
        </w:tc>
      </w:tr>
      <w:tr w:rsidR="00FB3398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B3398" w:rsidRPr="0095276B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98" w:rsidRPr="0095276B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B3398" w:rsidRPr="0095276B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Nema eksplozivnih osobina</w:t>
            </w:r>
            <w:r w:rsidRPr="0095276B">
              <w:rPr>
                <w:rFonts w:ascii="Times-New-Roman" w:hAnsi="Times-New-Roman" w:cs="Times-New-Roman"/>
              </w:rPr>
              <w:t>.</w:t>
            </w:r>
          </w:p>
        </w:tc>
      </w:tr>
      <w:tr w:rsidR="00FB3398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B3398" w:rsidRPr="00A4469C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98" w:rsidRPr="00A4469C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B3398" w:rsidRPr="00A4469C" w:rsidRDefault="00FB3398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B3398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B3398" w:rsidRPr="00A4469C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98" w:rsidRPr="00A4469C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B3398" w:rsidRPr="00A4469C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Nije primenjivo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B3398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B3398" w:rsidRPr="00A4469C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gustina: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98" w:rsidRPr="0032758A" w:rsidRDefault="00FB3398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Pr="00A4469C">
              <w:rPr>
                <w:rFonts w:ascii="Times-New-Roman" w:hAnsi="Times-New-Roman" w:cs="Times-New-Roman"/>
                <w:color w:val="000000"/>
              </w:rPr>
              <w:t>g/</w:t>
            </w:r>
            <w:r>
              <w:rPr>
                <w:rFonts w:ascii="Times-New-Roman" w:hAnsi="Times-New-Roman" w:cs="Times-New-Roman"/>
                <w:color w:val="000000"/>
              </w:rPr>
              <w:t>m</w:t>
            </w:r>
            <w:r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B3398" w:rsidRPr="00A4469C" w:rsidRDefault="00CA62A1" w:rsidP="000D173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2.97</w:t>
            </w:r>
          </w:p>
        </w:tc>
      </w:tr>
      <w:tr w:rsidR="00FB3398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B3398" w:rsidRPr="00A4469C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98" w:rsidRPr="00A4469C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B3398" w:rsidRPr="00A4469C" w:rsidRDefault="00CA62A1" w:rsidP="00FB339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Nije primenjivo.</w:t>
            </w:r>
          </w:p>
        </w:tc>
      </w:tr>
      <w:tr w:rsidR="00FB3398" w:rsidTr="00CA62A1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B3398" w:rsidRPr="00A4469C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98" w:rsidRPr="00A4469C" w:rsidRDefault="00FB3398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B3398" w:rsidRPr="00A4469C" w:rsidRDefault="00FB3398" w:rsidP="00FB339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Lako rastvorljiv u vodi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74DFE" w:rsidTr="00CA62A1">
        <w:trPr>
          <w:trHeight w:val="20"/>
          <w:jc w:val="center"/>
        </w:trPr>
        <w:tc>
          <w:tcPr>
            <w:tcW w:w="433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174DFE" w:rsidRPr="00174DFE" w:rsidRDefault="00174DFE" w:rsidP="00DB295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174DFE">
              <w:rPr>
                <w:rFonts w:ascii="Times-New-Roman,Bold" w:hAnsi="Times-New-Roman,Bold" w:cs="Times-New-Roman,Bold"/>
                <w:b/>
                <w:bCs/>
                <w:lang w:val="en-GB"/>
              </w:rPr>
              <w:t>- Koeficijent raspodele u sistemu  n-oktanol/voda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DFE" w:rsidRPr="00174DFE" w:rsidRDefault="00CA62A1" w:rsidP="00DB295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  <w:r>
              <w:rPr>
                <w:rFonts w:ascii="Times-New-Roman,Bold" w:hAnsi="Times-New-Roman,Bold" w:cs="Times-New-Roman,Bold"/>
                <w:bCs/>
                <w:i/>
              </w:rPr>
              <w:t>l</w:t>
            </w:r>
            <w:r w:rsidR="00174DFE" w:rsidRPr="00A4469C">
              <w:rPr>
                <w:rFonts w:ascii="Times-New-Roman,Bold" w:hAnsi="Times-New-Roman,Bold" w:cs="Times-New-Roman,Bold"/>
                <w:bCs/>
                <w:i/>
              </w:rPr>
              <w:t>ogPow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174DFE" w:rsidRPr="00174DFE" w:rsidRDefault="00174DFE" w:rsidP="00DB295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174DFE">
              <w:rPr>
                <w:rFonts w:ascii="Times-New-Roman" w:hAnsi="Times-New-Roman" w:cs="Times-New-Roman"/>
                <w:lang w:val="de-DE"/>
              </w:rPr>
              <w:t>Nije primenjivo.</w:t>
            </w:r>
          </w:p>
        </w:tc>
      </w:tr>
      <w:tr w:rsidR="00FB3398" w:rsidTr="00174DFE">
        <w:trPr>
          <w:trHeight w:val="20"/>
          <w:jc w:val="center"/>
        </w:trPr>
        <w:tc>
          <w:tcPr>
            <w:tcW w:w="433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B3398" w:rsidRPr="00A4469C" w:rsidRDefault="00FB3398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98" w:rsidRPr="00A4469C" w:rsidRDefault="00FB3398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B3398" w:rsidRPr="00A4469C" w:rsidRDefault="00FB3398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FB3398" w:rsidTr="00174DFE">
        <w:trPr>
          <w:trHeight w:val="20"/>
          <w:jc w:val="center"/>
        </w:trPr>
        <w:tc>
          <w:tcPr>
            <w:tcW w:w="433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B3398" w:rsidRPr="00A4469C" w:rsidRDefault="00FB3398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98" w:rsidRPr="00A4469C" w:rsidRDefault="00FB3398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B3398" w:rsidRPr="00A4469C" w:rsidRDefault="00FB3398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FB3398" w:rsidTr="00CA62A1">
        <w:trPr>
          <w:trHeight w:val="20"/>
          <w:jc w:val="center"/>
        </w:trPr>
        <w:tc>
          <w:tcPr>
            <w:tcW w:w="4333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FB3398" w:rsidRPr="00A4469C" w:rsidRDefault="00FB3398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B3398" w:rsidRPr="00A4469C" w:rsidRDefault="00FB3398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B3398" w:rsidRPr="00A4469C" w:rsidRDefault="00FB3398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</w:tbl>
    <w:p w:rsidR="00CA62A1" w:rsidRPr="00E3536C" w:rsidRDefault="00CA62A1" w:rsidP="00CA62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8747A5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Ferrous 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Sulphate Monohydrate)</w:t>
      </w:r>
    </w:p>
    <w:p w:rsidR="00CA62A1" w:rsidRPr="002C21D4" w:rsidRDefault="00CA62A1" w:rsidP="00CA62A1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A62A1" w:rsidRDefault="00CA62A1" w:rsidP="00CA62A1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3"/>
        <w:gridCol w:w="388"/>
        <w:gridCol w:w="871"/>
        <w:gridCol w:w="5414"/>
      </w:tblGrid>
      <w:tr w:rsidR="0028690C" w:rsidTr="00CA62A1">
        <w:trPr>
          <w:trHeight w:val="70"/>
          <w:jc w:val="center"/>
        </w:trPr>
        <w:tc>
          <w:tcPr>
            <w:tcW w:w="433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lastRenderedPageBreak/>
              <w:t>9.3. Ostali podaci koji su značajni za bezbednost:</w:t>
            </w:r>
          </w:p>
        </w:tc>
        <w:tc>
          <w:tcPr>
            <w:tcW w:w="1259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414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28690C" w:rsidTr="00174DF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28690C" w:rsidTr="00174DFE">
        <w:trPr>
          <w:trHeight w:val="2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0D173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uljima: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174DF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174DFE">
        <w:trPr>
          <w:trHeight w:val="2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FB3398" w:rsidRDefault="00CA62A1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Nije primenjivo.</w:t>
            </w:r>
          </w:p>
        </w:tc>
      </w:tr>
      <w:tr w:rsidR="00F92024" w:rsidTr="00174DFE">
        <w:trPr>
          <w:trHeight w:val="2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174DFE">
        <w:trPr>
          <w:trHeight w:val="2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0D1737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Nije primenjivo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95276B" w:rsidTr="00DE6C78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5276B" w:rsidRPr="00F103C0" w:rsidRDefault="0095276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4723D6" w:rsidTr="004723D6">
        <w:trPr>
          <w:trHeight w:val="458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723D6" w:rsidRPr="00F103C0" w:rsidRDefault="004723D6" w:rsidP="006B59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Proizvod je stabilan.</w:t>
            </w:r>
          </w:p>
        </w:tc>
      </w:tr>
      <w:tr w:rsidR="0095276B" w:rsidTr="00174DFE">
        <w:trPr>
          <w:trHeight w:val="70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174DFE" w:rsidRDefault="0095276B" w:rsidP="00174D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74DFE">
              <w:rPr>
                <w:rFonts w:ascii="Times New Roman" w:hAnsi="Times New Roman" w:cs="Times New Roman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174DFE" w:rsidRDefault="006B59F2" w:rsidP="00CA62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174DFE">
              <w:rPr>
                <w:rFonts w:ascii="Times New Roman" w:hAnsi="Times New Roman" w:cs="Times New Roman"/>
                <w:lang w:val="de-DE"/>
              </w:rPr>
              <w:t>-</w:t>
            </w:r>
            <w:r w:rsidR="00CA62A1">
              <w:rPr>
                <w:rFonts w:ascii="Times New Roman" w:hAnsi="Times New Roman" w:cs="Times New Roman"/>
                <w:lang w:val="de-DE"/>
              </w:rPr>
              <w:t>V</w:t>
            </w:r>
            <w:r w:rsidRPr="00174DFE">
              <w:rPr>
                <w:rFonts w:ascii="Times New Roman" w:hAnsi="Times New Roman" w:cs="Times New Roman"/>
                <w:lang w:val="de-DE"/>
              </w:rPr>
              <w:t>isoke temperature, vlaga</w:t>
            </w:r>
            <w:r w:rsidR="004723D6" w:rsidRPr="00174DFE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95276B" w:rsidTr="00174DFE">
        <w:trPr>
          <w:trHeight w:val="70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174DFE" w:rsidRDefault="0095276B" w:rsidP="00174D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74DFE">
              <w:rPr>
                <w:rFonts w:ascii="Times New Roman" w:hAnsi="Times New Roman" w:cs="Times New Roman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174DFE" w:rsidRDefault="0095276B" w:rsidP="007B3C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174DFE">
              <w:rPr>
                <w:rFonts w:ascii="Times New Roman" w:hAnsi="Times New Roman" w:cs="Times New Roman"/>
                <w:bCs/>
                <w:lang w:val="de-DE"/>
              </w:rPr>
              <w:t>-</w:t>
            </w:r>
            <w:r w:rsidR="00CA62A1">
              <w:rPr>
                <w:rFonts w:ascii="Times New Roman" w:hAnsi="Times New Roman" w:cs="Times New Roman"/>
                <w:bCs/>
                <w:lang w:val="de-DE"/>
              </w:rPr>
              <w:t>Alkalije, rastvorljivi karbonati, oksidirajuće materije. Reaguje u vlažnoj sredini i stvara</w:t>
            </w:r>
            <w:r w:rsidR="007B3C3D">
              <w:rPr>
                <w:rFonts w:ascii="Times New Roman" w:hAnsi="Times New Roman" w:cs="Times New Roman"/>
                <w:bCs/>
                <w:lang w:val="de-DE"/>
              </w:rPr>
              <w:t xml:space="preserve"> feri-sulfate. </w:t>
            </w:r>
          </w:p>
        </w:tc>
      </w:tr>
      <w:tr w:rsidR="0095276B" w:rsidTr="00174DFE">
        <w:trPr>
          <w:trHeight w:val="70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174DFE" w:rsidRDefault="0095276B" w:rsidP="00174D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74DFE">
              <w:rPr>
                <w:rFonts w:ascii="Times New Roman" w:hAnsi="Times New Roman" w:cs="Times New Roman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174DFE" w:rsidRDefault="006B59F2" w:rsidP="007B3C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174DFE">
              <w:rPr>
                <w:rFonts w:ascii="Times New Roman" w:hAnsi="Times New Roman" w:cs="Times New Roman"/>
                <w:lang w:val="de-DE"/>
              </w:rPr>
              <w:t>-</w:t>
            </w:r>
            <w:r w:rsidR="007B3C3D">
              <w:rPr>
                <w:rFonts w:ascii="Times New Roman" w:hAnsi="Times New Roman" w:cs="Times New Roman"/>
                <w:lang w:val="de-DE"/>
              </w:rPr>
              <w:t>Mogu nastati oksidi gvožđa i/ili sumpora</w:t>
            </w:r>
          </w:p>
        </w:tc>
      </w:tr>
      <w:tr w:rsidR="00F103C0" w:rsidTr="00CD1990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F103C0" w:rsidTr="00174DFE">
        <w:trPr>
          <w:trHeight w:val="70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174DFE" w:rsidRDefault="00F103C0" w:rsidP="0017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74DFE">
              <w:rPr>
                <w:rFonts w:ascii="Times New Roman" w:hAnsi="Times New Roman" w:cs="Times New Roman"/>
                <w:b/>
                <w:bCs/>
              </w:rPr>
              <w:t>- Akutni unos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174DFE" w:rsidRDefault="00F103C0" w:rsidP="0017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F103C0" w:rsidTr="006B59F2">
        <w:trPr>
          <w:trHeight w:val="153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174DFE" w:rsidRDefault="00F103C0" w:rsidP="00174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74DFE">
              <w:rPr>
                <w:rFonts w:ascii="Times New Roman" w:hAnsi="Times New Roman" w:cs="Times New Roman"/>
                <w:i/>
              </w:rPr>
              <w:t>Na usta (LD</w:t>
            </w:r>
            <w:r w:rsidRPr="00174DFE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174DFE">
              <w:rPr>
                <w:rFonts w:ascii="Times New Roman" w:hAnsi="Times New Roman" w:cs="Times New Roman"/>
                <w:i/>
              </w:rPr>
              <w:t xml:space="preserve"> ):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174DFE" w:rsidRDefault="006B59F2" w:rsidP="0017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74DFE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5252C9" w:rsidTr="006B59F2">
        <w:trPr>
          <w:trHeight w:val="135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5252C9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59F2">
        <w:trPr>
          <w:trHeight w:val="407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59F2">
        <w:trPr>
          <w:trHeight w:val="465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B3C3D" w:rsidRDefault="005252C9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  <w:p w:rsidR="004976C9" w:rsidRPr="00A4469C" w:rsidRDefault="004976C9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1B597F" w:rsidP="007B3C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Hronično trovanje </w:t>
            </w:r>
            <w:r w:rsidR="007B3C3D">
              <w:rPr>
                <w:rFonts w:ascii="Times-New-Roman" w:hAnsi="Times-New-Roman" w:cs="Times-New-Roman"/>
              </w:rPr>
              <w:t>gvožđem</w:t>
            </w:r>
            <w:r>
              <w:rPr>
                <w:rFonts w:ascii="Times-New-Roman" w:hAnsi="Times-New-Roman" w:cs="Times-New-Roman"/>
              </w:rPr>
              <w:t xml:space="preserve"> može dovesti do </w:t>
            </w:r>
            <w:r w:rsidR="007B3C3D">
              <w:rPr>
                <w:rFonts w:ascii="Times-New-Roman" w:hAnsi="Times-New-Roman" w:cs="Times-New-Roman"/>
              </w:rPr>
              <w:t>oštećenja krvnih sudova. Velike hronične doze izazivaju omekšavanje kostiju kod odojčadi. Hronično izlaganje može prouzrokovati efekte na jetri. Pri dužem izlaganju oka može izazvati obezbojenje.</w:t>
            </w:r>
          </w:p>
        </w:tc>
      </w:tr>
      <w:tr w:rsidR="005252C9" w:rsidTr="006B59F2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59F2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59F2">
        <w:trPr>
          <w:trHeight w:val="465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1B597F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174DFE" w:rsidRDefault="005252C9" w:rsidP="00DE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4DFE">
              <w:rPr>
                <w:rFonts w:ascii="Times New Roman" w:hAnsi="Times New Roman" w:cs="Times New Roman"/>
                <w:b/>
                <w:bCs/>
              </w:rPr>
              <w:t>- Različiti putevi izlaganja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174DFE" w:rsidRDefault="005252C9" w:rsidP="00DE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52C9" w:rsidTr="004976C9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174DFE" w:rsidRDefault="005252C9" w:rsidP="00DE6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74DFE">
              <w:rPr>
                <w:rFonts w:ascii="Times New Roman" w:hAnsi="Times New Roman" w:cs="Times New Roman"/>
                <w:b/>
                <w:i/>
              </w:rPr>
              <w:t xml:space="preserve">Koža:                                     </w:t>
            </w:r>
            <w:r w:rsidR="000943B1" w:rsidRPr="00174DFE">
              <w:rPr>
                <w:rFonts w:ascii="Times New Roman" w:hAnsi="Times New Roman" w:cs="Times New Roman"/>
                <w:b/>
                <w:i/>
              </w:rPr>
              <w:t xml:space="preserve">     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D12EC" w:rsidRPr="00174DFE" w:rsidRDefault="006B59F2" w:rsidP="00DE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DFE">
              <w:rPr>
                <w:rFonts w:ascii="Times New Roman" w:hAnsi="Times New Roman" w:cs="Times New Roman"/>
              </w:rPr>
              <w:t xml:space="preserve">Izaziva blagu </w:t>
            </w:r>
            <w:r w:rsidR="004976C9" w:rsidRPr="00174DFE">
              <w:rPr>
                <w:rFonts w:ascii="Times New Roman" w:hAnsi="Times New Roman" w:cs="Times New Roman"/>
              </w:rPr>
              <w:t>osetljivost, crvenilo</w:t>
            </w:r>
            <w:r w:rsidRPr="00174DFE">
              <w:rPr>
                <w:rFonts w:ascii="Times New Roman" w:hAnsi="Times New Roman" w:cs="Times New Roman"/>
              </w:rPr>
              <w:t>.</w:t>
            </w:r>
          </w:p>
        </w:tc>
      </w:tr>
      <w:tr w:rsidR="005252C9" w:rsidTr="007B3C3D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DD34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 New Roman" w:hAnsi="Times New Roman"/>
                <w:b/>
                <w:i/>
              </w:rPr>
              <w:t>Oči: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4976C9" w:rsidP="007B3C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Izaziva</w:t>
            </w:r>
            <w:r w:rsidR="007B3C3D">
              <w:rPr>
                <w:rFonts w:ascii="Times-New-Roman" w:hAnsi="Times-New-Roman" w:cs="Times-New-Roman"/>
              </w:rPr>
              <w:t xml:space="preserve"> </w:t>
            </w:r>
            <w:r w:rsidR="00174DFE">
              <w:rPr>
                <w:rFonts w:ascii="Times-New-Roman" w:hAnsi="Times-New-Roman" w:cs="Times-New-Roman"/>
              </w:rPr>
              <w:t>bol</w:t>
            </w:r>
            <w:r>
              <w:rPr>
                <w:rFonts w:ascii="Times-New-Roman" w:hAnsi="Times-New-Roman" w:cs="Times-New-Roman"/>
              </w:rPr>
              <w:t>, crvenilo</w:t>
            </w:r>
            <w:r w:rsidR="007B3C3D">
              <w:rPr>
                <w:rFonts w:ascii="Times-New-Roman" w:hAnsi="Times-New-Roman" w:cs="Times-New-Roman"/>
              </w:rPr>
              <w:t>, suzenje</w:t>
            </w:r>
            <w:r w:rsidR="000943B1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7B3C3D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DD34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Disajni putevi: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6E68A5" w:rsidRDefault="004976C9" w:rsidP="007B3C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color w:val="FF0000"/>
              </w:rPr>
            </w:pPr>
            <w:r>
              <w:rPr>
                <w:rFonts w:ascii="Times-New-Roman" w:hAnsi="Times-New-Roman" w:cs="Times-New-Roman"/>
              </w:rPr>
              <w:t xml:space="preserve">Izaziva kašalj, </w:t>
            </w:r>
            <w:r w:rsidR="007B3C3D">
              <w:rPr>
                <w:rFonts w:ascii="Times-New-Roman" w:hAnsi="Times-New-Roman" w:cs="Times-New-Roman"/>
              </w:rPr>
              <w:t xml:space="preserve">bol, </w:t>
            </w:r>
            <w:r>
              <w:rPr>
                <w:rFonts w:ascii="Times-New-Roman" w:hAnsi="Times-New-Roman" w:cs="Times-New-Roman"/>
              </w:rPr>
              <w:t>nedostatak daha, itd.</w:t>
            </w:r>
          </w:p>
        </w:tc>
      </w:tr>
      <w:tr w:rsidR="004976C9" w:rsidTr="007B3C3D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976C9" w:rsidRPr="00A4469C" w:rsidRDefault="004976C9" w:rsidP="00DD34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Gutanje: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976C9" w:rsidRDefault="004976C9" w:rsidP="00174D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Izaziva </w:t>
            </w:r>
            <w:r w:rsidR="00174DFE">
              <w:rPr>
                <w:rFonts w:ascii="Times-New-Roman" w:hAnsi="Times-New-Roman" w:cs="Times-New-Roman"/>
              </w:rPr>
              <w:t xml:space="preserve">mučninu, </w:t>
            </w:r>
            <w:r>
              <w:rPr>
                <w:rFonts w:ascii="Times-New-Roman" w:hAnsi="Times-New-Roman" w:cs="Times-New-Roman"/>
              </w:rPr>
              <w:t xml:space="preserve">povraćanje, </w:t>
            </w:r>
            <w:r w:rsidR="00174DFE">
              <w:rPr>
                <w:rFonts w:ascii="Times-New-Roman" w:hAnsi="Times-New-Roman" w:cs="Times-New-Roman"/>
              </w:rPr>
              <w:t>dijareju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7B3C3D">
        <w:trPr>
          <w:trHeight w:val="70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7B3C3D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7B3C3D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7B3C3D">
        <w:trPr>
          <w:trHeight w:val="7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252C9" w:rsidRPr="00A4469C" w:rsidRDefault="00DE6C78" w:rsidP="00DD3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</w:tbl>
    <w:p w:rsidR="007B3C3D" w:rsidRPr="00E3536C" w:rsidRDefault="007B3C3D" w:rsidP="007B3C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8747A5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Ferrous 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Sulphate Monohydrate)</w:t>
      </w:r>
    </w:p>
    <w:p w:rsidR="007B3C3D" w:rsidRPr="002C21D4" w:rsidRDefault="007B3C3D" w:rsidP="007B3C3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B3C3D" w:rsidRDefault="007B3C3D" w:rsidP="007B3C3D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5/8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6223"/>
      </w:tblGrid>
      <w:tr w:rsidR="005252C9" w:rsidTr="007B3C3D">
        <w:trPr>
          <w:trHeight w:val="70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lastRenderedPageBreak/>
              <w:t>Toksičnost u slučaju ponovljenog izlaganja:</w:t>
            </w:r>
          </w:p>
        </w:tc>
        <w:tc>
          <w:tcPr>
            <w:tcW w:w="622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B37E9" w:rsidRPr="00A4469C" w:rsidRDefault="000943B1" w:rsidP="00094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7B3C3D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0943B1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7B3C3D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380838" w:rsidP="00AD3E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Nije </w:t>
            </w:r>
            <w:bookmarkStart w:id="0" w:name="_GoBack"/>
            <w:bookmarkEnd w:id="0"/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označen kao karcinogen ili potencijalno karcinogen prema </w:t>
            </w:r>
            <w:r w:rsidR="00DE6C78">
              <w:rPr>
                <w:rFonts w:ascii="Times-New-Roman,Bold" w:hAnsi="Times-New-Roman,Bold" w:cs="Times-New-Roman,Bold"/>
                <w:bCs/>
                <w:lang w:val="de-DE"/>
              </w:rPr>
              <w:t>IARC, NTP</w:t>
            </w:r>
          </w:p>
        </w:tc>
      </w:tr>
      <w:tr w:rsidR="005252C9" w:rsidTr="007B3C3D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7B3C3D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252C9" w:rsidTr="007B3C3D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2C9" w:rsidRPr="00A4469C" w:rsidRDefault="005252C9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2C9" w:rsidRPr="00A4469C" w:rsidRDefault="005252C9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6812B4" w:rsidTr="0062106B">
        <w:trPr>
          <w:trHeight w:val="377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6812B4" w:rsidTr="007B3C3D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CE69C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DE6C78" w:rsidP="00DE6C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Ne dozvoliti da nerazređen proizvod ili velike količine proizvoda dospu do podzemnih, površinskih voda ili u kanalizacioni sistem.</w:t>
            </w:r>
          </w:p>
        </w:tc>
      </w:tr>
      <w:tr w:rsidR="00F44D19" w:rsidTr="007B3C3D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4D19" w:rsidRPr="00A4469C" w:rsidRDefault="00F44D19" w:rsidP="00DE6C7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4D19" w:rsidRDefault="00DE6C78" w:rsidP="00DE6C7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7B3C3D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DE6C7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DE6C7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7B3C3D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DE6C7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DE6C7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943B1" w:rsidTr="007B3C3D">
        <w:trPr>
          <w:trHeight w:val="45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0943B1" w:rsidRPr="00A4469C" w:rsidRDefault="000943B1" w:rsidP="00DE6C7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0943B1" w:rsidTr="007B3C3D">
        <w:trPr>
          <w:trHeight w:val="46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943B1" w:rsidTr="007B3C3D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943B1" w:rsidTr="007B3C3D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0943B1" w:rsidTr="007B3C3D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0943B1" w:rsidTr="007B3C3D">
        <w:trPr>
          <w:trHeight w:val="36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0943B1" w:rsidTr="007B3C3D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07A2E" w:rsidRPr="00A4469C" w:rsidRDefault="00A71C5D" w:rsidP="00C07A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7B3C3D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7B3C3D">
        <w:trPr>
          <w:trHeight w:val="2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7B3C3D">
        <w:trPr>
          <w:trHeight w:val="45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0943B1" w:rsidTr="007B3C3D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7B3C3D">
        <w:trPr>
          <w:trHeight w:val="36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CE69C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0943B1" w:rsidTr="007B3C3D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7B3C3D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7B3C3D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62106B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0943B1" w:rsidTr="007B3C3D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1B597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1B59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7B3C3D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1B597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1B59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7B3C3D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1B597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1B59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7B3C3D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1B597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1B59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62106B">
        <w:trPr>
          <w:trHeight w:val="41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943B1" w:rsidRPr="0045717F" w:rsidRDefault="000943B1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0943B1" w:rsidTr="007B3C3D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B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B4E3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E69CD" w:rsidTr="007B3C3D">
        <w:trPr>
          <w:trHeight w:val="78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E69CD" w:rsidRPr="00A4469C" w:rsidRDefault="00CE69CD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E69CD" w:rsidRPr="00A4469C" w:rsidRDefault="00DE6C78" w:rsidP="00BE1C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0F719A">
              <w:rPr>
                <w:rFonts w:ascii="Times New Roman" w:hAnsi="Times New Roman" w:cs="Times New Roman"/>
              </w:rPr>
              <w:t>Sa neutrošenim količinama proizvoda treba postupiti po Zakonu o upravljanju otpadom (</w:t>
            </w:r>
            <w:r w:rsidRPr="000F719A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</w:p>
        </w:tc>
      </w:tr>
    </w:tbl>
    <w:p w:rsidR="007B3C3D" w:rsidRPr="00E3536C" w:rsidRDefault="007B3C3D" w:rsidP="007B3C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8747A5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Ferrous 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Sulphate Monohydrate)</w:t>
      </w:r>
    </w:p>
    <w:p w:rsidR="007B3C3D" w:rsidRPr="002C21D4" w:rsidRDefault="007B3C3D" w:rsidP="007B3C3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B3C3D" w:rsidRDefault="007B3C3D" w:rsidP="007B3C3D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3150"/>
        <w:gridCol w:w="21"/>
        <w:gridCol w:w="3052"/>
      </w:tblGrid>
      <w:tr w:rsidR="00CE69CD" w:rsidTr="007B3C3D">
        <w:trPr>
          <w:trHeight w:val="465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E69CD" w:rsidRPr="00A4469C" w:rsidRDefault="009F3E54" w:rsidP="0062106B">
            <w:pPr>
              <w:autoSpaceDE w:val="0"/>
              <w:autoSpaceDN w:val="0"/>
              <w:adjustRightInd w:val="0"/>
              <w:spacing w:before="240"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lastRenderedPageBreak/>
              <w:t>Zagađena</w:t>
            </w:r>
            <w:r w:rsidR="00CE69CD" w:rsidRPr="00A4469C">
              <w:rPr>
                <w:rFonts w:ascii="Times-New-Roman" w:hAnsi="Times-New-Roman" w:cs="Times-New-Roman"/>
                <w:i/>
              </w:rPr>
              <w:t xml:space="preserve"> ambalaža</w:t>
            </w:r>
            <w:r w:rsidR="00CE69CD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3" w:type="dxa"/>
            <w:gridSpan w:val="3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E69CD" w:rsidRPr="00A4469C" w:rsidRDefault="00DE6C78" w:rsidP="0062106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Praznu ambalažu reciklirati ili odložiti.</w:t>
            </w:r>
            <w:r w:rsidRPr="00AE7A75">
              <w:rPr>
                <w:rFonts w:ascii="Times New Roman" w:hAnsi="Times New Roman" w:cs="Times New Roman"/>
                <w:lang w:val="sr-Latn-RS"/>
              </w:rPr>
              <w:t xml:space="preserve"> Sa ambalažom postupiti u skladu sa Zakonom o ambalaži i ambalažnom otpadu („Sl.glasnik RS“, br.36/09).</w:t>
            </w:r>
          </w:p>
        </w:tc>
      </w:tr>
      <w:tr w:rsidR="000943B1" w:rsidTr="007B3C3D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62106B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62106B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</w:tc>
      </w:tr>
      <w:tr w:rsidR="0041337C" w:rsidTr="0062106B">
        <w:trPr>
          <w:trHeight w:val="512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45717F" w:rsidRDefault="0041337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1337C" w:rsidTr="007B3C3D">
        <w:trPr>
          <w:trHeight w:val="2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Nije predmet prevoza ADR/RID.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6210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Ovaj proizvod nije </w:t>
            </w:r>
            <w:r>
              <w:rPr>
                <w:rFonts w:ascii="Times-New-Roman" w:hAnsi="Times-New-Roman" w:cs="Times-New-Roman"/>
              </w:rPr>
              <w:t>klasifikovan kao opasan</w:t>
            </w:r>
            <w:r w:rsidRPr="00A4469C">
              <w:rPr>
                <w:rFonts w:ascii="Times-New-Roman" w:hAnsi="Times-New-Roman" w:cs="Times-New-Roman"/>
              </w:rPr>
              <w:t xml:space="preserve"> zakonskom </w:t>
            </w:r>
            <w:r>
              <w:rPr>
                <w:rFonts w:ascii="Times-New-Roman" w:hAnsi="Times-New-Roman" w:cs="Times-New-Roman"/>
              </w:rPr>
              <w:t>regulat</w:t>
            </w:r>
            <w:r w:rsidR="0062106B">
              <w:rPr>
                <w:rFonts w:ascii="Times-New-Roman" w:hAnsi="Times-New-Roman" w:cs="Times-New-Roman"/>
              </w:rPr>
              <w:t>i</w:t>
            </w:r>
            <w:r>
              <w:rPr>
                <w:rFonts w:ascii="Times-New-Roman" w:hAnsi="Times-New-Roman" w:cs="Times-New-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>vom o transportu.</w:t>
            </w:r>
          </w:p>
        </w:tc>
      </w:tr>
      <w:tr w:rsidR="0041337C" w:rsidTr="007B3C3D">
        <w:trPr>
          <w:trHeight w:val="2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6210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6210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7B3C3D">
        <w:trPr>
          <w:trHeight w:val="2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6210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6210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7B3C3D">
        <w:trPr>
          <w:trHeight w:val="197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62106B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Default="0041337C" w:rsidP="0062106B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1337C" w:rsidTr="007B3C3D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62106B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62106B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7B3C3D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1337C" w:rsidTr="007B3C3D">
        <w:trPr>
          <w:trHeight w:val="27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1337C" w:rsidRPr="00A4469C" w:rsidTr="007B3C3D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1337C" w:rsidRPr="00A123E5" w:rsidRDefault="0041337C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7B3C3D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7B3C3D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 prevoz (RID)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7B3C3D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7B3C3D">
        <w:trPr>
          <w:trHeight w:val="30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7B3C3D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7B3C3D">
        <w:trPr>
          <w:trHeight w:val="2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7B3C3D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Tr="0062106B">
        <w:trPr>
          <w:trHeight w:val="413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2C1ECB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41337C" w:rsidTr="007B3C3D">
        <w:trPr>
          <w:trHeight w:val="197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62106B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41337C" w:rsidTr="007B3C3D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7B3C3D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Znakovi opasnosti i pisano upozorenje:</w:t>
            </w:r>
          </w:p>
          <w:p w:rsidR="0041337C" w:rsidRPr="00B50CEA" w:rsidRDefault="0041337C" w:rsidP="00C07A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7B3C3D">
        <w:trPr>
          <w:trHeight w:val="108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B50CEA" w:rsidRDefault="0041337C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B50CEA">
              <w:rPr>
                <w:rFonts w:ascii="Times-New-Roman,Bold" w:hAnsi="Times-New-Roman,Bold" w:cs="Times-New-Roman,Bold"/>
                <w:b/>
                <w:bCs/>
              </w:rPr>
              <w:t>Oznaka: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EB7208" w:rsidRDefault="00AA7762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/</w:t>
            </w:r>
          </w:p>
        </w:tc>
      </w:tr>
      <w:tr w:rsidR="0041337C" w:rsidTr="007B3C3D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Oznake rizika: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E69CD" w:rsidRPr="00EB7208" w:rsidRDefault="00AA7762" w:rsidP="00CE69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/</w:t>
            </w:r>
          </w:p>
        </w:tc>
      </w:tr>
      <w:tr w:rsidR="0041337C" w:rsidTr="007B3C3D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Oznake bezbednosti: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B7208" w:rsidRPr="00EB7208" w:rsidRDefault="00AA7762" w:rsidP="00EB7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/</w:t>
            </w:r>
          </w:p>
        </w:tc>
      </w:tr>
      <w:tr w:rsidR="00EB7208" w:rsidTr="007B3C3D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B7208" w:rsidRPr="00C57663" w:rsidRDefault="00AA7762" w:rsidP="00BE1CC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Kina: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EB7208" w:rsidRPr="00C57663" w:rsidRDefault="00AA7762" w:rsidP="00EB7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klasifikovan kao opasan prema GB 12268-2005</w:t>
            </w:r>
          </w:p>
        </w:tc>
      </w:tr>
      <w:tr w:rsidR="00AA7762" w:rsidTr="007B3C3D">
        <w:trPr>
          <w:trHeight w:val="41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AA7762" w:rsidRDefault="00AA7762" w:rsidP="00BE1CC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Internacionalno: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right w:val="thickThinSmallGap" w:sz="24" w:space="0" w:color="auto"/>
            </w:tcBorders>
          </w:tcPr>
          <w:p w:rsidR="00AA7762" w:rsidRDefault="00AA7762" w:rsidP="00AA77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Obratiti pažnju na primenjive nacionalne regulative koje utiču na informacije o klasi opasnosti i bezbednosti ovog proizvoda.</w:t>
            </w:r>
          </w:p>
        </w:tc>
      </w:tr>
      <w:tr w:rsidR="0041337C" w:rsidTr="007B3C3D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1337C" w:rsidRPr="00A4469C" w:rsidRDefault="0041337C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1337C" w:rsidRPr="00C3539A" w:rsidRDefault="0041337C" w:rsidP="0027286B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</w:tbl>
    <w:p w:rsidR="00AA7762" w:rsidRPr="00E3536C" w:rsidRDefault="00AA7762" w:rsidP="00AA77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8747A5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Ferrous </w:t>
      </w:r>
      <w:r w:rsidR="00E768D0">
        <w:rPr>
          <w:rFonts w:ascii="Times New Roman" w:hAnsi="Times New Roman" w:cs="Times New Roman"/>
          <w:i/>
          <w:sz w:val="20"/>
          <w:szCs w:val="20"/>
          <w:lang w:val="sr-Latn-RS"/>
        </w:rPr>
        <w:t>Sulphate Monohydrate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AA7762" w:rsidRPr="002C21D4" w:rsidRDefault="00AA7762" w:rsidP="00AA7762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AA7762" w:rsidRDefault="00AA7762" w:rsidP="00AA7762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3"/>
        <w:gridCol w:w="6043"/>
      </w:tblGrid>
      <w:tr w:rsidR="00BC22EF" w:rsidTr="00AA7762">
        <w:trPr>
          <w:trHeight w:val="7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16. OSTALI PODACI</w:t>
            </w:r>
          </w:p>
        </w:tc>
      </w:tr>
      <w:tr w:rsidR="00BC22EF" w:rsidTr="00AA7762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07A2E" w:rsidRPr="009621A5" w:rsidRDefault="00AA7762" w:rsidP="00EB7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C7566B" w:rsidTr="00AA7762">
        <w:trPr>
          <w:trHeight w:val="413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AA7762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A0120F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5F0560" w:rsidRDefault="00BC22EF" w:rsidP="00A0120F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r w:rsidR="0041337C">
              <w:rPr>
                <w:rFonts w:ascii="Times New Roman" w:hAnsi="Times New Roman" w:cs="Times New Roman"/>
              </w:rPr>
              <w:t xml:space="preserve"> Nema.</w:t>
            </w:r>
          </w:p>
        </w:tc>
      </w:tr>
      <w:tr w:rsidR="00BC22EF" w:rsidTr="00AA7762">
        <w:trPr>
          <w:trHeight w:val="465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Default="00394137" w:rsidP="002667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AA7762">
        <w:trPr>
          <w:trHeight w:val="395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9F3E54" w:rsidTr="00BE1CC1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F3E54" w:rsidRDefault="009F3E54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7106D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337C" w:rsidRPr="006669A8" w:rsidRDefault="0041337C" w:rsidP="0041337C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41337C" w:rsidP="0041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 i ne treba se smatrati nikakvom garancijom ili specifikacijom kvaliteta proizvoda.Informacije se odnose samo na specifične naznačene materijale i ne mogu se smatrati validnim ako je proizvod upotrebljen u kombinaciji sa nekim drugim, ili u procesu, ukoliko nije drugačije navedeno u tekstu.</w:t>
            </w:r>
          </w:p>
        </w:tc>
      </w:tr>
    </w:tbl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A7762" w:rsidRDefault="00AA776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A7762" w:rsidRDefault="00AA776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A7762" w:rsidRPr="00E3536C" w:rsidRDefault="00AA7762" w:rsidP="00AA77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8747A5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Ferrous </w:t>
      </w:r>
      <w:r w:rsidR="00E768D0">
        <w:rPr>
          <w:rFonts w:ascii="Times New Roman" w:hAnsi="Times New Roman" w:cs="Times New Roman"/>
          <w:i/>
          <w:sz w:val="20"/>
          <w:szCs w:val="20"/>
          <w:lang w:val="sr-Latn-RS"/>
        </w:rPr>
        <w:t>Sulphate Monohydrate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AA7762" w:rsidRPr="002C21D4" w:rsidRDefault="00AA7762" w:rsidP="00AA7762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AA7762" w:rsidRDefault="00AA7762" w:rsidP="00AA77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sectPr w:rsidR="00461F2E" w:rsidRPr="00AA7762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32" w:rsidRDefault="00121F32" w:rsidP="005E0553">
      <w:pPr>
        <w:spacing w:after="0" w:line="240" w:lineRule="auto"/>
      </w:pPr>
      <w:r>
        <w:separator/>
      </w:r>
    </w:p>
  </w:endnote>
  <w:endnote w:type="continuationSeparator" w:id="0">
    <w:p w:rsidR="00121F32" w:rsidRDefault="00121F32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32" w:rsidRDefault="00121F32" w:rsidP="005E0553">
      <w:pPr>
        <w:spacing w:after="0" w:line="240" w:lineRule="auto"/>
      </w:pPr>
      <w:r>
        <w:separator/>
      </w:r>
    </w:p>
  </w:footnote>
  <w:footnote w:type="continuationSeparator" w:id="0">
    <w:p w:rsidR="00121F32" w:rsidRDefault="00121F32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E5" w:rsidRDefault="00551FE5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51FE5" w:rsidRPr="00D23B93" w:rsidRDefault="00551FE5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A66A1C"/>
    <w:multiLevelType w:val="multilevel"/>
    <w:tmpl w:val="140A37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1E63"/>
    <w:rsid w:val="0002750E"/>
    <w:rsid w:val="00036A51"/>
    <w:rsid w:val="0004713E"/>
    <w:rsid w:val="00054A79"/>
    <w:rsid w:val="00067DCF"/>
    <w:rsid w:val="0007476B"/>
    <w:rsid w:val="00074FD9"/>
    <w:rsid w:val="00085431"/>
    <w:rsid w:val="000943B1"/>
    <w:rsid w:val="00096130"/>
    <w:rsid w:val="000B58C4"/>
    <w:rsid w:val="000D1737"/>
    <w:rsid w:val="000E3E04"/>
    <w:rsid w:val="000F2585"/>
    <w:rsid w:val="00102A9F"/>
    <w:rsid w:val="00117B76"/>
    <w:rsid w:val="00121F32"/>
    <w:rsid w:val="0012537F"/>
    <w:rsid w:val="001273F5"/>
    <w:rsid w:val="001472BC"/>
    <w:rsid w:val="00147F3F"/>
    <w:rsid w:val="00152071"/>
    <w:rsid w:val="001609B6"/>
    <w:rsid w:val="00161F1C"/>
    <w:rsid w:val="00167471"/>
    <w:rsid w:val="00174B9D"/>
    <w:rsid w:val="00174DFE"/>
    <w:rsid w:val="001B1D22"/>
    <w:rsid w:val="001B597F"/>
    <w:rsid w:val="001D4A37"/>
    <w:rsid w:val="001F4CB2"/>
    <w:rsid w:val="002052E7"/>
    <w:rsid w:val="00234156"/>
    <w:rsid w:val="00243877"/>
    <w:rsid w:val="00264501"/>
    <w:rsid w:val="00266788"/>
    <w:rsid w:val="0027286B"/>
    <w:rsid w:val="002739FC"/>
    <w:rsid w:val="002866E7"/>
    <w:rsid w:val="0028690C"/>
    <w:rsid w:val="002A36C3"/>
    <w:rsid w:val="002B13B9"/>
    <w:rsid w:val="002C1ECB"/>
    <w:rsid w:val="002C21D4"/>
    <w:rsid w:val="002C36FB"/>
    <w:rsid w:val="002C7808"/>
    <w:rsid w:val="0032758A"/>
    <w:rsid w:val="00335A8D"/>
    <w:rsid w:val="00346A2F"/>
    <w:rsid w:val="00351689"/>
    <w:rsid w:val="00351E80"/>
    <w:rsid w:val="00356F05"/>
    <w:rsid w:val="00380838"/>
    <w:rsid w:val="0038518E"/>
    <w:rsid w:val="00394137"/>
    <w:rsid w:val="003949D8"/>
    <w:rsid w:val="0039538E"/>
    <w:rsid w:val="003B3B37"/>
    <w:rsid w:val="003D12EC"/>
    <w:rsid w:val="003D764D"/>
    <w:rsid w:val="003F131A"/>
    <w:rsid w:val="0040318F"/>
    <w:rsid w:val="004068D3"/>
    <w:rsid w:val="004105AA"/>
    <w:rsid w:val="0041337C"/>
    <w:rsid w:val="00422A41"/>
    <w:rsid w:val="0042613B"/>
    <w:rsid w:val="00432C12"/>
    <w:rsid w:val="0044303C"/>
    <w:rsid w:val="00445C66"/>
    <w:rsid w:val="00447DDE"/>
    <w:rsid w:val="00451954"/>
    <w:rsid w:val="0045717F"/>
    <w:rsid w:val="0045753D"/>
    <w:rsid w:val="004600C2"/>
    <w:rsid w:val="00461F2E"/>
    <w:rsid w:val="00466825"/>
    <w:rsid w:val="00467ADC"/>
    <w:rsid w:val="004723D6"/>
    <w:rsid w:val="00481C81"/>
    <w:rsid w:val="004851FC"/>
    <w:rsid w:val="0049521E"/>
    <w:rsid w:val="004976C9"/>
    <w:rsid w:val="004C7BA4"/>
    <w:rsid w:val="00505DE2"/>
    <w:rsid w:val="00507FF0"/>
    <w:rsid w:val="005148B0"/>
    <w:rsid w:val="00524B27"/>
    <w:rsid w:val="005252C9"/>
    <w:rsid w:val="00536A1D"/>
    <w:rsid w:val="005377C2"/>
    <w:rsid w:val="00551FE5"/>
    <w:rsid w:val="005979D5"/>
    <w:rsid w:val="005A09D8"/>
    <w:rsid w:val="005A212A"/>
    <w:rsid w:val="005B1B79"/>
    <w:rsid w:val="005B3CA4"/>
    <w:rsid w:val="005C1966"/>
    <w:rsid w:val="005D0B13"/>
    <w:rsid w:val="005E0553"/>
    <w:rsid w:val="005F0560"/>
    <w:rsid w:val="005F462A"/>
    <w:rsid w:val="00607DA6"/>
    <w:rsid w:val="006164A0"/>
    <w:rsid w:val="00617AA1"/>
    <w:rsid w:val="0062106B"/>
    <w:rsid w:val="006228A1"/>
    <w:rsid w:val="006351DF"/>
    <w:rsid w:val="0063635E"/>
    <w:rsid w:val="006558E6"/>
    <w:rsid w:val="006669A8"/>
    <w:rsid w:val="0067694D"/>
    <w:rsid w:val="00676F94"/>
    <w:rsid w:val="006812B4"/>
    <w:rsid w:val="0068377A"/>
    <w:rsid w:val="006A1DEE"/>
    <w:rsid w:val="006B37E9"/>
    <w:rsid w:val="006B5251"/>
    <w:rsid w:val="006B59F2"/>
    <w:rsid w:val="006C720B"/>
    <w:rsid w:val="006D1224"/>
    <w:rsid w:val="006E27B7"/>
    <w:rsid w:val="006E68A5"/>
    <w:rsid w:val="006F2F8B"/>
    <w:rsid w:val="006F43A9"/>
    <w:rsid w:val="0070591D"/>
    <w:rsid w:val="007106DC"/>
    <w:rsid w:val="0071109E"/>
    <w:rsid w:val="007110B0"/>
    <w:rsid w:val="00714C28"/>
    <w:rsid w:val="0072765F"/>
    <w:rsid w:val="0073301C"/>
    <w:rsid w:val="00737075"/>
    <w:rsid w:val="007518B9"/>
    <w:rsid w:val="007543CD"/>
    <w:rsid w:val="00794AD3"/>
    <w:rsid w:val="007B3C3D"/>
    <w:rsid w:val="007D59BC"/>
    <w:rsid w:val="007D61B6"/>
    <w:rsid w:val="007E419C"/>
    <w:rsid w:val="007E53B6"/>
    <w:rsid w:val="007E59D4"/>
    <w:rsid w:val="00811949"/>
    <w:rsid w:val="00813673"/>
    <w:rsid w:val="008151FC"/>
    <w:rsid w:val="008222C3"/>
    <w:rsid w:val="00824C25"/>
    <w:rsid w:val="008302DE"/>
    <w:rsid w:val="00831D13"/>
    <w:rsid w:val="00851214"/>
    <w:rsid w:val="008558C9"/>
    <w:rsid w:val="00856467"/>
    <w:rsid w:val="00872636"/>
    <w:rsid w:val="008747A5"/>
    <w:rsid w:val="008775AA"/>
    <w:rsid w:val="00884F14"/>
    <w:rsid w:val="008865EA"/>
    <w:rsid w:val="008962A9"/>
    <w:rsid w:val="008A3492"/>
    <w:rsid w:val="008A5D51"/>
    <w:rsid w:val="008B2A29"/>
    <w:rsid w:val="008C114A"/>
    <w:rsid w:val="008C30B3"/>
    <w:rsid w:val="008D2ADC"/>
    <w:rsid w:val="008E49CB"/>
    <w:rsid w:val="00902FC3"/>
    <w:rsid w:val="00914E90"/>
    <w:rsid w:val="00917F6A"/>
    <w:rsid w:val="009309C6"/>
    <w:rsid w:val="009359FB"/>
    <w:rsid w:val="0095276B"/>
    <w:rsid w:val="00960B7C"/>
    <w:rsid w:val="009621A5"/>
    <w:rsid w:val="009634D6"/>
    <w:rsid w:val="00980C6D"/>
    <w:rsid w:val="00981B20"/>
    <w:rsid w:val="009A04C5"/>
    <w:rsid w:val="009C50E8"/>
    <w:rsid w:val="009F3E54"/>
    <w:rsid w:val="009F787D"/>
    <w:rsid w:val="00A00327"/>
    <w:rsid w:val="00A0120F"/>
    <w:rsid w:val="00A123E5"/>
    <w:rsid w:val="00A15368"/>
    <w:rsid w:val="00A17F06"/>
    <w:rsid w:val="00A25630"/>
    <w:rsid w:val="00A30D6A"/>
    <w:rsid w:val="00A3582C"/>
    <w:rsid w:val="00A35FBB"/>
    <w:rsid w:val="00A3622A"/>
    <w:rsid w:val="00A508F7"/>
    <w:rsid w:val="00A71C5D"/>
    <w:rsid w:val="00A8412C"/>
    <w:rsid w:val="00A84B29"/>
    <w:rsid w:val="00AA3358"/>
    <w:rsid w:val="00AA5E7D"/>
    <w:rsid w:val="00AA7762"/>
    <w:rsid w:val="00AB4E3D"/>
    <w:rsid w:val="00AB6006"/>
    <w:rsid w:val="00AC627F"/>
    <w:rsid w:val="00AD3E17"/>
    <w:rsid w:val="00AD7D39"/>
    <w:rsid w:val="00AD7EC8"/>
    <w:rsid w:val="00B03AC3"/>
    <w:rsid w:val="00B12957"/>
    <w:rsid w:val="00B50CEA"/>
    <w:rsid w:val="00B60E28"/>
    <w:rsid w:val="00B924FE"/>
    <w:rsid w:val="00BA07AB"/>
    <w:rsid w:val="00BC048F"/>
    <w:rsid w:val="00BC22EF"/>
    <w:rsid w:val="00BD12CF"/>
    <w:rsid w:val="00BD7869"/>
    <w:rsid w:val="00BE1CC1"/>
    <w:rsid w:val="00BE2459"/>
    <w:rsid w:val="00C00128"/>
    <w:rsid w:val="00C07A2E"/>
    <w:rsid w:val="00C2169A"/>
    <w:rsid w:val="00C3539A"/>
    <w:rsid w:val="00C44762"/>
    <w:rsid w:val="00C464FB"/>
    <w:rsid w:val="00C54609"/>
    <w:rsid w:val="00C57663"/>
    <w:rsid w:val="00C656DC"/>
    <w:rsid w:val="00C72846"/>
    <w:rsid w:val="00C7566B"/>
    <w:rsid w:val="00C979C4"/>
    <w:rsid w:val="00CA62A1"/>
    <w:rsid w:val="00CB461D"/>
    <w:rsid w:val="00CC32B9"/>
    <w:rsid w:val="00CD1990"/>
    <w:rsid w:val="00CD21B9"/>
    <w:rsid w:val="00CE69CD"/>
    <w:rsid w:val="00D03287"/>
    <w:rsid w:val="00D104E8"/>
    <w:rsid w:val="00D23B93"/>
    <w:rsid w:val="00D32554"/>
    <w:rsid w:val="00D51D00"/>
    <w:rsid w:val="00D5451D"/>
    <w:rsid w:val="00D552F8"/>
    <w:rsid w:val="00D62DE6"/>
    <w:rsid w:val="00DA295D"/>
    <w:rsid w:val="00DC08B6"/>
    <w:rsid w:val="00DC46A9"/>
    <w:rsid w:val="00DC4F00"/>
    <w:rsid w:val="00DD10C3"/>
    <w:rsid w:val="00DD349B"/>
    <w:rsid w:val="00DE34B9"/>
    <w:rsid w:val="00DE6C78"/>
    <w:rsid w:val="00E13312"/>
    <w:rsid w:val="00E21BDC"/>
    <w:rsid w:val="00E34D54"/>
    <w:rsid w:val="00E3536C"/>
    <w:rsid w:val="00E5128F"/>
    <w:rsid w:val="00E6184E"/>
    <w:rsid w:val="00E747D7"/>
    <w:rsid w:val="00E768D0"/>
    <w:rsid w:val="00E87E5D"/>
    <w:rsid w:val="00E917B2"/>
    <w:rsid w:val="00E936CC"/>
    <w:rsid w:val="00EA31F3"/>
    <w:rsid w:val="00EB7208"/>
    <w:rsid w:val="00EC2B94"/>
    <w:rsid w:val="00EC326F"/>
    <w:rsid w:val="00EC607C"/>
    <w:rsid w:val="00ED030C"/>
    <w:rsid w:val="00ED42CE"/>
    <w:rsid w:val="00EE19C6"/>
    <w:rsid w:val="00EE1F05"/>
    <w:rsid w:val="00EF3E95"/>
    <w:rsid w:val="00EF58BD"/>
    <w:rsid w:val="00F01738"/>
    <w:rsid w:val="00F103C0"/>
    <w:rsid w:val="00F104A4"/>
    <w:rsid w:val="00F21701"/>
    <w:rsid w:val="00F23B48"/>
    <w:rsid w:val="00F41802"/>
    <w:rsid w:val="00F44D19"/>
    <w:rsid w:val="00F4586F"/>
    <w:rsid w:val="00F63302"/>
    <w:rsid w:val="00F65A6A"/>
    <w:rsid w:val="00F80C77"/>
    <w:rsid w:val="00F87B4D"/>
    <w:rsid w:val="00F92024"/>
    <w:rsid w:val="00FA2DBC"/>
    <w:rsid w:val="00FA3ED0"/>
    <w:rsid w:val="00FB3398"/>
    <w:rsid w:val="00FB63A3"/>
    <w:rsid w:val="00FC3855"/>
    <w:rsid w:val="00FC4D1B"/>
    <w:rsid w:val="00FD39FE"/>
    <w:rsid w:val="00FD4FC3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F5D3-8078-46F6-9802-99F07D5E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8</cp:revision>
  <dcterms:created xsi:type="dcterms:W3CDTF">2012-12-26T13:07:00Z</dcterms:created>
  <dcterms:modified xsi:type="dcterms:W3CDTF">2012-12-27T11:32:00Z</dcterms:modified>
</cp:coreProperties>
</file>